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AF" w:rsidRDefault="00321D38" w:rsidP="00321D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Avaliação técnico econômica </w:t>
      </w:r>
      <w:proofErr w:type="gramStart"/>
      <w:r>
        <w:rPr>
          <w:rFonts w:ascii="Arial" w:hAnsi="Arial" w:cs="Arial"/>
          <w:b/>
        </w:rPr>
        <w:t>da micro</w:t>
      </w:r>
      <w:proofErr w:type="gramEnd"/>
      <w:r>
        <w:rPr>
          <w:rFonts w:ascii="Arial" w:hAnsi="Arial" w:cs="Arial"/>
          <w:b/>
        </w:rPr>
        <w:t xml:space="preserve"> e </w:t>
      </w:r>
      <w:proofErr w:type="spellStart"/>
      <w:r>
        <w:rPr>
          <w:rFonts w:ascii="Arial" w:hAnsi="Arial" w:cs="Arial"/>
          <w:b/>
        </w:rPr>
        <w:t>minigeração</w:t>
      </w:r>
      <w:proofErr w:type="spellEnd"/>
      <w:r>
        <w:rPr>
          <w:rFonts w:ascii="Arial" w:hAnsi="Arial" w:cs="Arial"/>
          <w:b/>
        </w:rPr>
        <w:t xml:space="preserve"> de eletricidade utilizando-se biogás de efluente em estações de tratamento de esgoto</w:t>
      </w:r>
    </w:p>
    <w:p w:rsidR="00170FAD" w:rsidRDefault="00170FAD" w:rsidP="00321D38">
      <w:pPr>
        <w:jc w:val="center"/>
        <w:rPr>
          <w:rFonts w:ascii="Arial" w:hAnsi="Arial" w:cs="Arial"/>
          <w:b/>
        </w:rPr>
      </w:pPr>
    </w:p>
    <w:p w:rsidR="00321D38" w:rsidRDefault="00321D38" w:rsidP="00321D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Andressa </w:t>
      </w:r>
      <w:proofErr w:type="spellStart"/>
      <w:r>
        <w:rPr>
          <w:rFonts w:ascii="Arial" w:hAnsi="Arial" w:cs="Arial"/>
        </w:rPr>
        <w:t>Ceccatto</w:t>
      </w:r>
      <w:proofErr w:type="spellEnd"/>
      <w:r w:rsidR="00170FAD">
        <w:rPr>
          <w:rFonts w:ascii="Arial" w:hAnsi="Arial" w:cs="Arial"/>
        </w:rPr>
        <w:t xml:space="preserve"> </w:t>
      </w:r>
      <w:r w:rsidR="00170FAD">
        <w:rPr>
          <w:rFonts w:ascii="Arial" w:hAnsi="Arial" w:cs="Arial"/>
        </w:rPr>
        <w:t>(PIBIC/CNPq/</w:t>
      </w:r>
      <w:proofErr w:type="spellStart"/>
      <w:r w:rsidR="00170FAD">
        <w:rPr>
          <w:rFonts w:ascii="Arial" w:hAnsi="Arial" w:cs="Arial"/>
        </w:rPr>
        <w:t>Unioeste</w:t>
      </w:r>
      <w:proofErr w:type="spellEnd"/>
      <w:r w:rsidR="00170FA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9801A3">
        <w:rPr>
          <w:rFonts w:ascii="Arial" w:hAnsi="Arial" w:cs="Arial"/>
        </w:rPr>
        <w:t xml:space="preserve"> </w:t>
      </w:r>
      <w:proofErr w:type="spellStart"/>
      <w:r w:rsidR="009801A3">
        <w:rPr>
          <w:rFonts w:ascii="Arial" w:hAnsi="Arial" w:cs="Arial"/>
        </w:rPr>
        <w:t>Jhennyffer</w:t>
      </w:r>
      <w:proofErr w:type="spellEnd"/>
      <w:r w:rsidR="009801A3">
        <w:rPr>
          <w:rFonts w:ascii="Arial" w:hAnsi="Arial" w:cs="Arial"/>
        </w:rPr>
        <w:t xml:space="preserve"> Rodrigues Vicente</w:t>
      </w:r>
      <w:r>
        <w:rPr>
          <w:rFonts w:ascii="Arial" w:hAnsi="Arial" w:cs="Arial"/>
        </w:rPr>
        <w:t xml:space="preserve">, Samuel Nelson </w:t>
      </w:r>
      <w:proofErr w:type="spellStart"/>
      <w:r>
        <w:rPr>
          <w:rFonts w:ascii="Arial" w:hAnsi="Arial" w:cs="Arial"/>
        </w:rPr>
        <w:t>Melegari</w:t>
      </w:r>
      <w:proofErr w:type="spellEnd"/>
      <w:r>
        <w:rPr>
          <w:rFonts w:ascii="Arial" w:hAnsi="Arial" w:cs="Arial"/>
        </w:rPr>
        <w:t xml:space="preserve"> de Souza (Orientador), e-mail: </w:t>
      </w:r>
      <w:hyperlink r:id="rId7" w:history="1">
        <w:r w:rsidRPr="00171A2A">
          <w:rPr>
            <w:rStyle w:val="Hyperlink"/>
            <w:rFonts w:ascii="Arial" w:hAnsi="Arial" w:cs="Arial"/>
          </w:rPr>
          <w:t>andressaceccatto@hotmail.com</w:t>
        </w:r>
      </w:hyperlink>
      <w:r>
        <w:rPr>
          <w:rFonts w:ascii="Arial" w:hAnsi="Arial" w:cs="Arial"/>
        </w:rPr>
        <w:t>.</w:t>
      </w:r>
    </w:p>
    <w:p w:rsidR="00321D38" w:rsidRDefault="00321D38" w:rsidP="00321D38">
      <w:pPr>
        <w:jc w:val="center"/>
        <w:rPr>
          <w:rFonts w:ascii="Arial" w:hAnsi="Arial" w:cs="Arial"/>
        </w:rPr>
      </w:pPr>
    </w:p>
    <w:p w:rsidR="00321D38" w:rsidRDefault="00321D38" w:rsidP="00321D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Oeste do Paraná/Centro de Ciências Exatas e Tecnológicas/Cascavel, PR.</w:t>
      </w:r>
    </w:p>
    <w:p w:rsidR="00321D38" w:rsidRDefault="00321D38" w:rsidP="00321D38">
      <w:pPr>
        <w:jc w:val="both"/>
        <w:rPr>
          <w:rFonts w:ascii="Arial" w:hAnsi="Arial" w:cs="Arial"/>
          <w:b/>
        </w:rPr>
      </w:pPr>
    </w:p>
    <w:p w:rsidR="00321D38" w:rsidRDefault="00170FAD" w:rsidP="00321D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Ciências Agrárias/Ciências Agrárias</w:t>
      </w:r>
    </w:p>
    <w:p w:rsidR="00321D38" w:rsidRDefault="00321D38" w:rsidP="00321D38">
      <w:pPr>
        <w:jc w:val="both"/>
      </w:pPr>
    </w:p>
    <w:p w:rsidR="00321D38" w:rsidRDefault="00321D38" w:rsidP="00321D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>
        <w:rPr>
          <w:rFonts w:ascii="Arial" w:hAnsi="Arial" w:cs="Arial"/>
        </w:rPr>
        <w:t>Energia, biomassa, biocombustível.</w:t>
      </w:r>
    </w:p>
    <w:p w:rsidR="00321D38" w:rsidRDefault="00321D38" w:rsidP="00321D38"/>
    <w:p w:rsidR="00321D38" w:rsidRDefault="00321D38" w:rsidP="00321D38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321D38" w:rsidRPr="00177FC4" w:rsidRDefault="00321D38" w:rsidP="00170FAD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biodigestão</w:t>
      </w:r>
      <w:proofErr w:type="spellEnd"/>
      <w:r>
        <w:rPr>
          <w:rFonts w:ascii="Arial" w:hAnsi="Arial" w:cs="Arial"/>
        </w:rPr>
        <w:t xml:space="preserve"> de efluentes nos reatores de tratamento de esgoto tem como objetivo principal o saneamento ambiental da biomassa residual gerada, sendo o biogás um dos subprodutos. Este tem maior percentual de metano em sua composição, assim pode ser utilizado como biocombustível pela planta de tratamento de esgoto para geração de eletricidade, a qual pode ser usada como insumo no próprio processo, com o objetivo de redução do custo com energia obtida da concessionária. O objetivo deste trabalho foi avaliar a produção de energia elétrica com biogás adjacente a estações de tratamento de esgoto típicas para todos os tamanhos e com isso avaliar a viabilidade econômica. O estudo revela que em sete meses paga-se os investimentos e em torno de 10 anos o lucro tem estagnação.</w:t>
      </w:r>
    </w:p>
    <w:p w:rsidR="00321D38" w:rsidRDefault="00321D38" w:rsidP="00321D38">
      <w:pPr>
        <w:jc w:val="both"/>
        <w:rPr>
          <w:rFonts w:ascii="Arial" w:hAnsi="Arial" w:cs="Arial"/>
        </w:rPr>
      </w:pPr>
    </w:p>
    <w:p w:rsidR="00321D38" w:rsidRDefault="00321D38" w:rsidP="00321D38">
      <w:r>
        <w:rPr>
          <w:rFonts w:ascii="Arial" w:hAnsi="Arial" w:cs="Arial"/>
          <w:b/>
        </w:rPr>
        <w:t>Introdução</w:t>
      </w:r>
    </w:p>
    <w:p w:rsidR="00321D38" w:rsidRDefault="00321D38" w:rsidP="00321D38">
      <w:pPr>
        <w:jc w:val="both"/>
        <w:rPr>
          <w:rFonts w:ascii="Arial" w:hAnsi="Arial" w:cs="Arial"/>
        </w:rPr>
      </w:pP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Milhares de anos, a biomassa foi responsável por atender a maior parte das necessidades de energia da humanidade. Mas, com o início da era dos combustíveis fósseis, meados do século XIX, sua utilização começou a diminuir nos países industrializados (KLASS, 1998). O carvão passou a ser a principal fonte primária de energia na matriz energética mundial, sendo superado pelo petróleo a partir da década de 1960. Entretanto, com os choques do petróleo na década de 1970, a biomassa voltou a ser vista por muitos governantes e formuladores de políticas como um recurso energético viável e doméstico (SMIL, 2002).</w:t>
      </w: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Diversas rotas tecnológicas, adaptadas às diferentes características físicas e químicas das matérias-primas e da utilização requerida, podem ser utilizadas para converter a biomassa em produto energético final. Dentre as tecnologias utilizadas para o aproveitamento da energia da biomassa, a digestão anaeróbica vem sendo cada vez mais utilizada por permitir a recuperação da energia através do aproveitamento do biogás e nutrientes (IEA, 2005).</w:t>
      </w: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 por objetivo geral apresentar a avaliação do potencial de geração de biogás e eletricidade e avaliação econômica em estações de tratamento de esgoto urbano, no âmbito da Resolução Normativa ANEEL 482/2012.</w:t>
      </w:r>
    </w:p>
    <w:p w:rsidR="009B4FD3" w:rsidRDefault="009B4FD3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Adotar volume diário e carga orgânica (DQO) média de esgoto tratado, estimando o potencial de produção horária de biogás e potencial de geração de eletricidade, calculando o custo de geração de eletricidade e sua viabilidade.</w:t>
      </w:r>
    </w:p>
    <w:p w:rsidR="00321D38" w:rsidRDefault="00321D38" w:rsidP="00321D38">
      <w:pPr>
        <w:jc w:val="both"/>
      </w:pPr>
    </w:p>
    <w:p w:rsidR="00321D38" w:rsidRDefault="00321D38" w:rsidP="00321D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Pr="00E21690">
        <w:rPr>
          <w:rFonts w:ascii="Arial" w:hAnsi="Arial" w:cs="Arial"/>
          <w:b/>
        </w:rPr>
        <w:t xml:space="preserve"> e </w:t>
      </w:r>
      <w:r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B47B5C" w:rsidRDefault="00B47B5C" w:rsidP="00321D38">
      <w:pPr>
        <w:rPr>
          <w:rFonts w:ascii="Arial" w:hAnsi="Arial" w:cs="Arial"/>
          <w:b/>
        </w:rPr>
      </w:pPr>
    </w:p>
    <w:p w:rsidR="00B47B5C" w:rsidRDefault="00B47B5C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obtenção do volume diário de esgoto liberado em média por habitante, adotou-se um valor estimado de 150 litros/</w:t>
      </w:r>
      <w:proofErr w:type="spellStart"/>
      <w:r>
        <w:rPr>
          <w:rFonts w:ascii="Arial" w:hAnsi="Arial" w:cs="Arial"/>
        </w:rPr>
        <w:t>dia.habitante</w:t>
      </w:r>
      <w:proofErr w:type="spellEnd"/>
      <w:r>
        <w:rPr>
          <w:rFonts w:ascii="Arial" w:hAnsi="Arial" w:cs="Arial"/>
        </w:rPr>
        <w:t xml:space="preserve">, levando-se em consideração os valores </w:t>
      </w:r>
      <w:r w:rsidR="00894AE7">
        <w:rPr>
          <w:rFonts w:ascii="Arial" w:hAnsi="Arial" w:cs="Arial"/>
        </w:rPr>
        <w:t>de DZ 215-R4 (2007) e FRANÇA JR (2008) de 160 litros/</w:t>
      </w:r>
      <w:proofErr w:type="spellStart"/>
      <w:r w:rsidR="00894AE7">
        <w:rPr>
          <w:rFonts w:ascii="Arial" w:hAnsi="Arial" w:cs="Arial"/>
        </w:rPr>
        <w:t>dia.habitante</w:t>
      </w:r>
      <w:proofErr w:type="spellEnd"/>
      <w:r w:rsidR="00894AE7">
        <w:rPr>
          <w:rFonts w:ascii="Arial" w:hAnsi="Arial" w:cs="Arial"/>
        </w:rPr>
        <w:t xml:space="preserve"> e de BRASIL (2016) de 132 litros/</w:t>
      </w:r>
      <w:proofErr w:type="spellStart"/>
      <w:r w:rsidR="00894AE7">
        <w:rPr>
          <w:rFonts w:ascii="Arial" w:hAnsi="Arial" w:cs="Arial"/>
        </w:rPr>
        <w:t>dia.habitante</w:t>
      </w:r>
      <w:proofErr w:type="spellEnd"/>
      <w:r w:rsidR="00894AE7">
        <w:rPr>
          <w:rFonts w:ascii="Arial" w:hAnsi="Arial" w:cs="Arial"/>
        </w:rPr>
        <w:t>.</w:t>
      </w:r>
    </w:p>
    <w:p w:rsidR="00894AE7" w:rsidRDefault="00894AE7" w:rsidP="00894A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esse índice é possível obter a vazão total de esgoto a ser tratado por diferentes escalas de estações de tratamento de esgoto (</w:t>
      </w:r>
      <w:proofErr w:type="spellStart"/>
      <w:r>
        <w:rPr>
          <w:rFonts w:ascii="Arial" w:hAnsi="Arial" w:cs="Arial"/>
        </w:rPr>
        <w:t>ETEs</w:t>
      </w:r>
      <w:proofErr w:type="spellEnd"/>
      <w:r>
        <w:rPr>
          <w:rFonts w:ascii="Arial" w:hAnsi="Arial" w:cs="Arial"/>
        </w:rPr>
        <w:t>).</w:t>
      </w:r>
    </w:p>
    <w:p w:rsidR="00894AE7" w:rsidRDefault="00894AE7" w:rsidP="00894A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efeitos deste estudo, foram estabelecidas escalas de </w:t>
      </w:r>
      <w:proofErr w:type="spellStart"/>
      <w:r>
        <w:rPr>
          <w:rFonts w:ascii="Arial" w:hAnsi="Arial" w:cs="Arial"/>
        </w:rPr>
        <w:t>ETEs</w:t>
      </w:r>
      <w:proofErr w:type="spellEnd"/>
      <w:r>
        <w:rPr>
          <w:rFonts w:ascii="Arial" w:hAnsi="Arial" w:cs="Arial"/>
        </w:rPr>
        <w:t>, assumindo que as mesmas sejam estações de tratamento do tipo UASB. Tais escalas são em função da população atendida, variando de 100000 a 1000000 de habitantes.</w:t>
      </w:r>
    </w:p>
    <w:p w:rsidR="00894AE7" w:rsidRDefault="00894AE7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estimado da demanda química de oxigênio (DQO) de esgoto afluente, bem como a eficiência de remoção de DQO no tratamento,</w:t>
      </w:r>
      <w:r w:rsidRPr="00894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considerado segundo estudos realizados no Relatório PIBIC/2015. Calculou-se um valor médio de </w:t>
      </w:r>
      <w:proofErr w:type="gramStart"/>
      <w:r>
        <w:rPr>
          <w:rFonts w:ascii="Arial" w:hAnsi="Arial" w:cs="Arial"/>
        </w:rPr>
        <w:t>532,81 mg/l. Quanto</w:t>
      </w:r>
      <w:proofErr w:type="gramEnd"/>
      <w:r>
        <w:rPr>
          <w:rFonts w:ascii="Arial" w:hAnsi="Arial" w:cs="Arial"/>
        </w:rPr>
        <w:t xml:space="preserve"> a eficiência de remoção de DQO, obteve-se uma média de 77%.</w:t>
      </w:r>
    </w:p>
    <w:p w:rsidR="00012E57" w:rsidRPr="00012E57" w:rsidRDefault="00012E57" w:rsidP="00012E57">
      <w:pPr>
        <w:ind w:firstLine="708"/>
        <w:jc w:val="both"/>
        <w:rPr>
          <w:rFonts w:ascii="Arial" w:hAnsi="Arial" w:cs="Arial"/>
        </w:rPr>
      </w:pPr>
      <w:r w:rsidRPr="00012E57">
        <w:rPr>
          <w:rFonts w:ascii="Arial" w:hAnsi="Arial" w:cs="Arial"/>
        </w:rPr>
        <w:t>O potencial de produção de biogás de uma unidade é baseado na DQO removida pelo reator e sua conversão em metano (CH</w:t>
      </w:r>
      <w:r w:rsidRPr="00012E57">
        <w:rPr>
          <w:rFonts w:ascii="Arial" w:hAnsi="Arial" w:cs="Arial"/>
          <w:vertAlign w:val="subscript"/>
        </w:rPr>
        <w:t>4</w:t>
      </w:r>
      <w:r w:rsidRPr="00012E57">
        <w:rPr>
          <w:rFonts w:ascii="Arial" w:hAnsi="Arial" w:cs="Arial"/>
        </w:rPr>
        <w:t xml:space="preserve">). Para determinação da potência de geração de eletricidade em função da produção de biogás junto a uma estação de tratamento depende do poder calorífico do biogás e da eficiência de conversão de biogás em energia elétrica. Este potencial foi obtido considerando-se o uso de motores geradores a combustão interna e microturbinas a gás, estabelecendo-se cenários com diferentes eficiências de conversão. </w:t>
      </w:r>
    </w:p>
    <w:p w:rsidR="00012E57" w:rsidRPr="00012E57" w:rsidRDefault="00012E57" w:rsidP="00012E57">
      <w:pPr>
        <w:ind w:firstLine="708"/>
        <w:jc w:val="both"/>
        <w:rPr>
          <w:rFonts w:ascii="Arial" w:hAnsi="Arial" w:cs="Arial"/>
        </w:rPr>
      </w:pPr>
      <w:r w:rsidRPr="00012E57">
        <w:rPr>
          <w:rFonts w:ascii="Arial" w:hAnsi="Arial" w:cs="Arial"/>
        </w:rPr>
        <w:t>Foram levantados dados de custo de investimento e de operação e manutenção de motores geradores e microturbinas a biogás. Estes dados foram obtidos junto a consulta de fabricantes de equipamentos nacionais e internacionais, visando obter o custo específico de investimento (R$/kW) para cada kW gerado e o percentual anual de investimento em operação e manutenção de uma planta de geração de eletricidade. O custo de geração da eletricidade foi obtido por meio da relação entre os custos: fixo e de operação e manutenção anualizados e a produção anual de eletricidade.</w:t>
      </w:r>
    </w:p>
    <w:p w:rsidR="00012E57" w:rsidRPr="00012E57" w:rsidRDefault="00012E57" w:rsidP="00012E57">
      <w:pPr>
        <w:ind w:firstLine="708"/>
        <w:jc w:val="both"/>
        <w:rPr>
          <w:rFonts w:ascii="Arial" w:hAnsi="Arial" w:cs="Arial"/>
        </w:rPr>
      </w:pPr>
      <w:r w:rsidRPr="00012E57">
        <w:rPr>
          <w:rFonts w:ascii="Arial" w:hAnsi="Arial" w:cs="Arial"/>
        </w:rPr>
        <w:t>O valor presente líquido (VLP) da planta de geração de eletricidade durante o período de operação depende do investimento em planta, fluxo de caixa, tempo e taxa de desconto. Por meio do ganho com a compensação da energia, atendendo a RN ANEEL 482/2012.</w:t>
      </w:r>
    </w:p>
    <w:p w:rsidR="00012E57" w:rsidRPr="00012E57" w:rsidRDefault="00012E57" w:rsidP="00012E57">
      <w:pPr>
        <w:ind w:firstLine="708"/>
        <w:jc w:val="both"/>
        <w:rPr>
          <w:rFonts w:ascii="Arial" w:hAnsi="Arial" w:cs="Arial"/>
        </w:rPr>
      </w:pPr>
      <w:r w:rsidRPr="00012E57">
        <w:rPr>
          <w:rFonts w:ascii="Arial" w:hAnsi="Arial" w:cs="Arial"/>
        </w:rPr>
        <w:lastRenderedPageBreak/>
        <w:t xml:space="preserve">Para efeitos de cálculo do VPL de aproveitamento de biogás para geração própria de energia adotou-se a tarifa da Resolução ANEEL nº 1897 de 16 de Junho de 2015, correspondente à tarifa horo-sazonal verde, subgrupo A4, a qual é cobrada pela COPEL, cujos valores são de 1,62970 R$/kWh na ponta considerando 3 horas por dia e 0,34453 R$/kWh fora de ponta, sendo 21 horas por dia. Foram obtidos os VLP e tempo de retorno de investimento, para as </w:t>
      </w:r>
      <w:proofErr w:type="spellStart"/>
      <w:r w:rsidRPr="00012E57">
        <w:rPr>
          <w:rFonts w:ascii="Arial" w:hAnsi="Arial" w:cs="Arial"/>
        </w:rPr>
        <w:t>ETEs</w:t>
      </w:r>
      <w:proofErr w:type="spellEnd"/>
      <w:r w:rsidRPr="00012E57">
        <w:rPr>
          <w:rFonts w:ascii="Arial" w:hAnsi="Arial" w:cs="Arial"/>
        </w:rPr>
        <w:t xml:space="preserve"> que atendem 300000, 500000 e 1000000 de habitantes. </w:t>
      </w:r>
    </w:p>
    <w:p w:rsidR="00321D38" w:rsidRDefault="00321D38" w:rsidP="00321D38"/>
    <w:p w:rsidR="00321D38" w:rsidRDefault="00321D38" w:rsidP="00321D38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2B27EF" w:rsidRDefault="002B27EF" w:rsidP="002B27EF">
      <w:pPr>
        <w:jc w:val="both"/>
        <w:rPr>
          <w:rFonts w:ascii="Arial" w:hAnsi="Arial" w:cs="Arial"/>
        </w:rPr>
      </w:pPr>
    </w:p>
    <w:p w:rsidR="002B27EF" w:rsidRDefault="002B27EF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a estimativa de produção de esgoto e a capacidade de cada ETE, foi possível obter a vazão de esgoto efluente. O potencial de produção de biogás de uma ETE é baseado na quantidade da demanda química de oxigênio (DQO) removida pelo reator e sua conversão em metano (CH</w:t>
      </w:r>
      <w:r w:rsidRPr="00FC60A1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). A vazão de metano é obtida da relação de </w:t>
      </w:r>
      <w:r w:rsidRPr="00420AE8">
        <w:rPr>
          <w:rFonts w:ascii="Arial" w:hAnsi="Arial" w:cs="Arial"/>
        </w:rPr>
        <w:t>DQO</w:t>
      </w:r>
      <w:r w:rsidRPr="00420AE8">
        <w:rPr>
          <w:rFonts w:ascii="Arial" w:hAnsi="Arial" w:cs="Arial"/>
          <w:vertAlign w:val="subscript"/>
        </w:rPr>
        <w:t>CH4</w:t>
      </w:r>
      <w:r>
        <w:rPr>
          <w:rFonts w:ascii="Arial" w:hAnsi="Arial" w:cs="Arial"/>
        </w:rPr>
        <w:t xml:space="preserve"> com o fator de correção para a temperatura operacional do reator. Com a vazão de metano e a porcentagem dele removido, têm-se a vazão de biogás usado para se estimar a potência de energia produzida pela unidade de tratamento. Sendo mostrados na tabela abaixo.</w:t>
      </w: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</w:p>
    <w:p w:rsidR="00321D38" w:rsidRPr="00A0230A" w:rsidRDefault="00321D38" w:rsidP="00321D38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A0230A">
        <w:rPr>
          <w:rFonts w:ascii="Arial" w:hAnsi="Arial" w:cs="Arial"/>
          <w:b/>
          <w:color w:val="000000"/>
          <w:sz w:val="20"/>
          <w:szCs w:val="20"/>
        </w:rPr>
        <w:t xml:space="preserve">Tabela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0230A">
        <w:rPr>
          <w:rFonts w:ascii="Arial" w:hAnsi="Arial" w:cs="Arial"/>
          <w:b/>
          <w:color w:val="000000"/>
          <w:sz w:val="20"/>
          <w:szCs w:val="20"/>
        </w:rPr>
        <w:t>–</w:t>
      </w:r>
      <w:r w:rsidRPr="00A02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Potencial de produção de biogás, vazão de biogás e estimativa de potência de energia.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2123"/>
        <w:gridCol w:w="1809"/>
        <w:gridCol w:w="956"/>
      </w:tblGrid>
      <w:tr w:rsidR="00321D38" w:rsidTr="00DD0DF9">
        <w:trPr>
          <w:trHeight w:val="159"/>
        </w:trPr>
        <w:tc>
          <w:tcPr>
            <w:tcW w:w="0" w:type="auto"/>
            <w:shd w:val="clear" w:color="auto" w:fill="auto"/>
          </w:tcPr>
          <w:p w:rsidR="00321D38" w:rsidRPr="006924AE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894A5B">
              <w:rPr>
                <w:b/>
                <w:bCs/>
                <w:color w:val="000000"/>
              </w:rPr>
              <w:t>Capacidade da ETE (Habitantes)</w:t>
            </w:r>
          </w:p>
        </w:tc>
        <w:tc>
          <w:tcPr>
            <w:tcW w:w="0" w:type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 w:rsidRPr="00894A5B">
              <w:rPr>
                <w:b/>
                <w:bCs/>
                <w:color w:val="000000"/>
              </w:rPr>
              <w:t>DQO CH</w:t>
            </w:r>
            <w:r w:rsidRPr="00894A5B">
              <w:rPr>
                <w:b/>
                <w:bCs/>
                <w:color w:val="000000"/>
                <w:vertAlign w:val="subscript"/>
              </w:rPr>
              <w:t>4</w:t>
            </w:r>
            <w:r w:rsidRPr="00894A5B">
              <w:rPr>
                <w:b/>
                <w:bCs/>
                <w:color w:val="000000"/>
              </w:rPr>
              <w:t xml:space="preserve"> (kg/dia)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 w:rsidRPr="00894A5B">
              <w:rPr>
                <w:b/>
                <w:bCs/>
                <w:color w:val="000000"/>
              </w:rPr>
              <w:t>Q biogás (m³/h)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 w:rsidRPr="00894A5B">
              <w:rPr>
                <w:b/>
                <w:bCs/>
                <w:color w:val="000000"/>
              </w:rPr>
              <w:t>P (kW)</w:t>
            </w:r>
          </w:p>
        </w:tc>
      </w:tr>
      <w:tr w:rsidR="00321D38" w:rsidTr="00DD0DF9">
        <w:trPr>
          <w:trHeight w:val="159"/>
        </w:trPr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300000</w:t>
            </w:r>
          </w:p>
        </w:tc>
        <w:tc>
          <w:tcPr>
            <w:tcW w:w="0" w:type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 w:rsidRPr="00894A5B">
              <w:rPr>
                <w:color w:val="000000"/>
              </w:rPr>
              <w:t>12947,4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 w:rsidRPr="00894A5B">
              <w:rPr>
                <w:color w:val="000000"/>
              </w:rPr>
              <w:t>322,4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 w:rsidRPr="00894A5B">
              <w:rPr>
                <w:color w:val="000000"/>
              </w:rPr>
              <w:t>417,9</w:t>
            </w:r>
          </w:p>
        </w:tc>
      </w:tr>
      <w:tr w:rsidR="00321D38" w:rsidTr="00DD0DF9">
        <w:trPr>
          <w:trHeight w:val="159"/>
        </w:trPr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500000</w:t>
            </w:r>
          </w:p>
        </w:tc>
        <w:tc>
          <w:tcPr>
            <w:tcW w:w="0" w:type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21579,0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537,4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696,5</w:t>
            </w:r>
          </w:p>
        </w:tc>
      </w:tr>
      <w:tr w:rsidR="00321D38" w:rsidTr="00DD0DF9">
        <w:trPr>
          <w:trHeight w:val="191"/>
        </w:trPr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1000000</w:t>
            </w:r>
          </w:p>
        </w:tc>
        <w:tc>
          <w:tcPr>
            <w:tcW w:w="0" w:type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43158,0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1074,8</w:t>
            </w:r>
          </w:p>
        </w:tc>
        <w:tc>
          <w:tcPr>
            <w:tcW w:w="0" w:type="auto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1393,1</w:t>
            </w:r>
          </w:p>
        </w:tc>
      </w:tr>
    </w:tbl>
    <w:p w:rsidR="00321D38" w:rsidRDefault="00321D38" w:rsidP="00321D38">
      <w:pPr>
        <w:ind w:firstLine="708"/>
        <w:jc w:val="both"/>
        <w:rPr>
          <w:rFonts w:ascii="Arial" w:hAnsi="Arial" w:cs="Arial"/>
        </w:rPr>
      </w:pP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Observa-se que a potência gerada pelas estimativas é menor que observada por </w:t>
      </w:r>
      <w:proofErr w:type="spellStart"/>
      <w:r>
        <w:rPr>
          <w:rFonts w:ascii="Arial" w:hAnsi="Arial" w:cs="Arial"/>
        </w:rPr>
        <w:t>Zilotti</w:t>
      </w:r>
      <w:proofErr w:type="spellEnd"/>
      <w:r>
        <w:rPr>
          <w:rFonts w:ascii="Arial" w:hAnsi="Arial" w:cs="Arial"/>
        </w:rPr>
        <w:t xml:space="preserve"> (2012), que obteve uma demanda de uma ETE atendendo o tratamento de água para 150000 habitantes com uma potência de 400 kW.</w:t>
      </w:r>
    </w:p>
    <w:p w:rsidR="00321D38" w:rsidRDefault="002B27EF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 os resultados</w:t>
      </w:r>
      <w:r w:rsidR="00321D38">
        <w:rPr>
          <w:rFonts w:ascii="Arial" w:hAnsi="Arial" w:cs="Arial"/>
        </w:rPr>
        <w:t>, podem-se realizar as estimativas de produção de biogás, da potência gerada na ETE e da relação entre ambos.</w:t>
      </w:r>
    </w:p>
    <w:p w:rsidR="00321D38" w:rsidRDefault="00321D38" w:rsidP="00321D38">
      <w:pPr>
        <w:ind w:firstLine="708"/>
        <w:jc w:val="both"/>
        <w:rPr>
          <w:noProof/>
        </w:rPr>
      </w:pPr>
      <w:bookmarkStart w:id="1" w:name="_Toc453097483"/>
      <w:r>
        <w:rPr>
          <w:noProof/>
          <w:lang w:eastAsia="pt-BR"/>
        </w:rPr>
        <w:drawing>
          <wp:inline distT="0" distB="0" distL="0" distR="0" wp14:anchorId="1DFCFBBC" wp14:editId="0D520DCE">
            <wp:extent cx="3723640" cy="1668780"/>
            <wp:effectExtent l="0" t="0" r="10160" b="2667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321D38" w:rsidRPr="00906241" w:rsidRDefault="00321D38" w:rsidP="00321D38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906241">
        <w:rPr>
          <w:rFonts w:ascii="Arial" w:hAnsi="Arial" w:cs="Arial"/>
          <w:b/>
          <w:sz w:val="20"/>
          <w:szCs w:val="20"/>
        </w:rPr>
        <w:t xml:space="preserve">Figura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– Estimativa da potência gerada em relação ao biogás produzido na ETE</w:t>
      </w:r>
      <w:r w:rsidRPr="00906241">
        <w:rPr>
          <w:rFonts w:ascii="Arial" w:hAnsi="Arial" w:cs="Arial"/>
          <w:sz w:val="20"/>
          <w:szCs w:val="20"/>
        </w:rPr>
        <w:t>.</w:t>
      </w: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os cálculos do valor presente líquido, foram considerados dados retirados da ANEEL, prevendo-se o gasto total que a ETE teria ao comprar energia da COPEL. O custo específico de geração de eletricidade foi assumido como 2000,00 R$/kW, segundo a Empresa Biogás Motores Estacionário LTDA, que mostra o investimento realizado em planta, sendo relacionado com a potência.</w:t>
      </w: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</w:p>
    <w:p w:rsidR="00321D38" w:rsidRPr="00A0230A" w:rsidRDefault="00321D38" w:rsidP="00321D38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A0230A">
        <w:rPr>
          <w:rFonts w:ascii="Arial" w:hAnsi="Arial" w:cs="Arial"/>
          <w:b/>
          <w:color w:val="000000"/>
          <w:sz w:val="20"/>
          <w:szCs w:val="20"/>
        </w:rPr>
        <w:t xml:space="preserve">Tabela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0230A">
        <w:rPr>
          <w:rFonts w:ascii="Arial" w:hAnsi="Arial" w:cs="Arial"/>
          <w:b/>
          <w:color w:val="000000"/>
          <w:sz w:val="20"/>
          <w:szCs w:val="20"/>
        </w:rPr>
        <w:t>–</w:t>
      </w:r>
      <w:r w:rsidRPr="00A023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Estimativa dos gastos da energia fornecida pela COPEL e do investimento de geração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9"/>
        <w:gridCol w:w="1236"/>
        <w:gridCol w:w="1356"/>
        <w:gridCol w:w="1356"/>
      </w:tblGrid>
      <w:tr w:rsidR="00321D38" w:rsidTr="00DD0DF9">
        <w:trPr>
          <w:trHeight w:val="255"/>
          <w:jc w:val="center"/>
        </w:trPr>
        <w:tc>
          <w:tcPr>
            <w:tcW w:w="3309" w:type="dxa"/>
            <w:shd w:val="clear" w:color="auto" w:fill="auto"/>
          </w:tcPr>
          <w:p w:rsidR="00321D38" w:rsidRPr="001B3E8F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</w:rPr>
            </w:pPr>
            <w:r w:rsidRPr="001B3E8F">
              <w:rPr>
                <w:b/>
                <w:bCs/>
                <w:color w:val="000000"/>
                <w:szCs w:val="24"/>
              </w:rPr>
              <w:t>População/ETE (</w:t>
            </w:r>
            <w:r w:rsidRPr="001B3E8F">
              <w:rPr>
                <w:b/>
                <w:color w:val="000000"/>
                <w:szCs w:val="24"/>
              </w:rPr>
              <w:t>Habitantes)</w:t>
            </w:r>
          </w:p>
        </w:tc>
        <w:tc>
          <w:tcPr>
            <w:tcW w:w="123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300.000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500.000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1.000.000</w:t>
            </w:r>
          </w:p>
        </w:tc>
      </w:tr>
      <w:tr w:rsidR="00321D38" w:rsidTr="00DD0DF9">
        <w:trPr>
          <w:trHeight w:val="284"/>
          <w:jc w:val="center"/>
        </w:trPr>
        <w:tc>
          <w:tcPr>
            <w:tcW w:w="3309" w:type="dxa"/>
            <w:shd w:val="clear" w:color="auto" w:fill="auto"/>
          </w:tcPr>
          <w:p w:rsidR="00321D38" w:rsidRPr="001B3E8F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</w:rPr>
            </w:pPr>
            <w:r w:rsidRPr="001B3E8F">
              <w:rPr>
                <w:b/>
                <w:bCs/>
                <w:color w:val="000000"/>
                <w:szCs w:val="24"/>
              </w:rPr>
              <w:t>Potência (kW)</w:t>
            </w:r>
          </w:p>
        </w:tc>
        <w:tc>
          <w:tcPr>
            <w:tcW w:w="123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417,90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696,50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1393,10</w:t>
            </w:r>
          </w:p>
        </w:tc>
      </w:tr>
      <w:tr w:rsidR="00321D38" w:rsidTr="00DD0DF9">
        <w:trPr>
          <w:trHeight w:val="410"/>
          <w:jc w:val="center"/>
        </w:trPr>
        <w:tc>
          <w:tcPr>
            <w:tcW w:w="3309" w:type="dxa"/>
            <w:shd w:val="clear" w:color="auto" w:fill="auto"/>
          </w:tcPr>
          <w:p w:rsidR="00321D38" w:rsidRPr="001B3E8F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</w:rPr>
            </w:pPr>
            <w:r w:rsidRPr="001B3E8F">
              <w:rPr>
                <w:b/>
                <w:bCs/>
                <w:color w:val="000000"/>
                <w:szCs w:val="24"/>
              </w:rPr>
              <w:t>Gasto Ponta (</w:t>
            </w:r>
            <w:r w:rsidRPr="001B3E8F">
              <w:rPr>
                <w:b/>
                <w:color w:val="000000"/>
                <w:szCs w:val="24"/>
              </w:rPr>
              <w:t>R$/mês)</w:t>
            </w:r>
          </w:p>
        </w:tc>
        <w:tc>
          <w:tcPr>
            <w:tcW w:w="123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39351,26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65585,43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131180,29</w:t>
            </w:r>
          </w:p>
        </w:tc>
      </w:tr>
      <w:tr w:rsidR="00321D38" w:rsidTr="00DD0DF9">
        <w:trPr>
          <w:trHeight w:val="395"/>
          <w:jc w:val="center"/>
        </w:trPr>
        <w:tc>
          <w:tcPr>
            <w:tcW w:w="3309" w:type="dxa"/>
            <w:shd w:val="clear" w:color="auto" w:fill="auto"/>
          </w:tcPr>
          <w:p w:rsidR="00321D38" w:rsidRPr="001B3E8F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</w:rPr>
            </w:pPr>
            <w:r w:rsidRPr="001B3E8F">
              <w:rPr>
                <w:b/>
                <w:bCs/>
                <w:color w:val="000000"/>
                <w:szCs w:val="24"/>
              </w:rPr>
              <w:t>Gasto Fora de Ponta (</w:t>
            </w:r>
            <w:r w:rsidRPr="001B3E8F">
              <w:rPr>
                <w:b/>
                <w:color w:val="000000"/>
                <w:szCs w:val="24"/>
              </w:rPr>
              <w:t>R$/mês)</w:t>
            </w:r>
          </w:p>
        </w:tc>
        <w:tc>
          <w:tcPr>
            <w:tcW w:w="123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90706,82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151178,04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302377,79</w:t>
            </w:r>
          </w:p>
        </w:tc>
      </w:tr>
      <w:tr w:rsidR="00321D38" w:rsidTr="00DD0DF9">
        <w:trPr>
          <w:trHeight w:val="395"/>
          <w:jc w:val="center"/>
        </w:trPr>
        <w:tc>
          <w:tcPr>
            <w:tcW w:w="3309" w:type="dxa"/>
            <w:shd w:val="clear" w:color="auto" w:fill="auto"/>
          </w:tcPr>
          <w:p w:rsidR="00321D38" w:rsidRPr="001B3E8F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</w:rPr>
            </w:pPr>
            <w:r w:rsidRPr="001B3E8F">
              <w:rPr>
                <w:b/>
                <w:bCs/>
                <w:color w:val="000000"/>
                <w:szCs w:val="24"/>
              </w:rPr>
              <w:t>Gasto Total</w:t>
            </w:r>
            <w:r w:rsidRPr="001B3E8F">
              <w:rPr>
                <w:b/>
                <w:color w:val="000000"/>
                <w:szCs w:val="24"/>
              </w:rPr>
              <w:t xml:space="preserve"> (R$/mês)</w:t>
            </w:r>
          </w:p>
        </w:tc>
        <w:tc>
          <w:tcPr>
            <w:tcW w:w="123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130058,10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216763,50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t>433558,10</w:t>
            </w:r>
          </w:p>
        </w:tc>
      </w:tr>
      <w:tr w:rsidR="00321D38" w:rsidTr="00DD0DF9">
        <w:trPr>
          <w:trHeight w:val="323"/>
          <w:jc w:val="center"/>
        </w:trPr>
        <w:tc>
          <w:tcPr>
            <w:tcW w:w="3309" w:type="dxa"/>
            <w:shd w:val="clear" w:color="auto" w:fill="auto"/>
          </w:tcPr>
          <w:p w:rsidR="00321D38" w:rsidRPr="001B3E8F" w:rsidRDefault="00321D38" w:rsidP="00DD0DF9">
            <w:pPr>
              <w:pStyle w:val="TCCCIVILCorpodotexto"/>
              <w:spacing w:line="240" w:lineRule="auto"/>
              <w:ind w:firstLine="0"/>
              <w:jc w:val="center"/>
              <w:rPr>
                <w:b/>
              </w:rPr>
            </w:pPr>
            <w:r w:rsidRPr="001B3E8F">
              <w:rPr>
                <w:b/>
                <w:bCs/>
                <w:color w:val="000000"/>
                <w:szCs w:val="24"/>
              </w:rPr>
              <w:t>Investimento (R$)</w:t>
            </w:r>
          </w:p>
        </w:tc>
        <w:tc>
          <w:tcPr>
            <w:tcW w:w="123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835800,00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1393000,00</w:t>
            </w:r>
          </w:p>
        </w:tc>
        <w:tc>
          <w:tcPr>
            <w:tcW w:w="1356" w:type="dxa"/>
            <w:shd w:val="clear" w:color="auto" w:fill="auto"/>
          </w:tcPr>
          <w:p w:rsidR="00321D38" w:rsidRDefault="00321D38" w:rsidP="00DD0DF9">
            <w:pPr>
              <w:pStyle w:val="TCCCIVILCorpodotex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2786200,00</w:t>
            </w:r>
          </w:p>
        </w:tc>
      </w:tr>
    </w:tbl>
    <w:p w:rsidR="00321D38" w:rsidRDefault="00321D38" w:rsidP="00321D38">
      <w:pPr>
        <w:ind w:firstLine="708"/>
        <w:jc w:val="both"/>
        <w:rPr>
          <w:rFonts w:ascii="Arial" w:hAnsi="Arial" w:cs="Arial"/>
        </w:rPr>
      </w:pPr>
    </w:p>
    <w:p w:rsidR="00321D38" w:rsidRDefault="00B47B5C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figura </w:t>
      </w:r>
      <w:r w:rsidR="00321D38">
        <w:rPr>
          <w:rFonts w:ascii="Arial" w:hAnsi="Arial" w:cs="Arial"/>
        </w:rPr>
        <w:t xml:space="preserve">abaixo é o valor presente líquido para a ETE de 1000000 de habitantes, sendo semelhante para os outros tamanhos de ETE. </w:t>
      </w:r>
    </w:p>
    <w:p w:rsidR="00321D38" w:rsidRDefault="00321D38" w:rsidP="00321D38">
      <w:pPr>
        <w:ind w:firstLine="708"/>
        <w:jc w:val="both"/>
        <w:rPr>
          <w:noProof/>
        </w:rPr>
      </w:pPr>
      <w:r>
        <w:rPr>
          <w:noProof/>
          <w:lang w:eastAsia="pt-BR"/>
        </w:rPr>
        <w:drawing>
          <wp:inline distT="0" distB="0" distL="0" distR="0" wp14:anchorId="1FE84C4A" wp14:editId="2DC36C0E">
            <wp:extent cx="3733165" cy="1706880"/>
            <wp:effectExtent l="0" t="0" r="19685" b="2667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D38" w:rsidRDefault="00321D38" w:rsidP="00321D38">
      <w:pPr>
        <w:ind w:left="851" w:hanging="851"/>
        <w:jc w:val="both"/>
        <w:rPr>
          <w:rFonts w:ascii="Arial" w:hAnsi="Arial" w:cs="Arial"/>
        </w:rPr>
      </w:pPr>
      <w:r w:rsidRPr="00906241">
        <w:rPr>
          <w:rFonts w:ascii="Arial" w:hAnsi="Arial" w:cs="Arial"/>
          <w:b/>
          <w:sz w:val="20"/>
          <w:szCs w:val="20"/>
        </w:rPr>
        <w:t xml:space="preserve">Figura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Valor presente líquido em relação ao tempo na ETE de 1000000 de habitantes.</w:t>
      </w: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custo de geração de energia elétrica foi obtido por meio da relação entre os dados de custo de investimento e de operação e manutenção de motores geradores e microturbinas a biogás e a produção de eletricidade anual estimada em cada estação de tratamento. Sendo este custo de 0,056 R$/kWh, sendo o mesmo para todos os tamanhos de estações de tratamento. </w:t>
      </w:r>
    </w:p>
    <w:p w:rsidR="00321D38" w:rsidRDefault="00321D38" w:rsidP="00321D38">
      <w:pPr>
        <w:rPr>
          <w:rFonts w:ascii="Arial" w:hAnsi="Arial" w:cs="Arial"/>
        </w:rPr>
      </w:pPr>
    </w:p>
    <w:p w:rsidR="00321D38" w:rsidRDefault="00321D38" w:rsidP="00321D38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321D38" w:rsidRDefault="00321D38" w:rsidP="00321D38">
      <w:pPr>
        <w:jc w:val="both"/>
        <w:rPr>
          <w:rFonts w:ascii="Arial" w:hAnsi="Arial" w:cs="Arial"/>
        </w:rPr>
      </w:pP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os estudos realizados concluímos que a produção de energia elétrica através do biogás é viável, pois em sete meses liquidam-se os investimentos, após este período obtém-se um lucro acentuado. </w:t>
      </w:r>
    </w:p>
    <w:p w:rsidR="00321D38" w:rsidRDefault="00321D38" w:rsidP="00321D38">
      <w:pPr>
        <w:rPr>
          <w:rFonts w:ascii="Arial" w:hAnsi="Arial" w:cs="Arial"/>
        </w:rPr>
      </w:pPr>
    </w:p>
    <w:p w:rsidR="00321D38" w:rsidRDefault="00321D38" w:rsidP="00321D38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Agradecimentos</w:t>
      </w:r>
    </w:p>
    <w:p w:rsidR="00321D38" w:rsidRDefault="00321D38" w:rsidP="00321D38">
      <w:pPr>
        <w:jc w:val="both"/>
        <w:rPr>
          <w:rFonts w:ascii="Arial" w:hAnsi="Arial" w:cs="Arial"/>
        </w:rPr>
      </w:pPr>
    </w:p>
    <w:p w:rsidR="00321D38" w:rsidRDefault="00321D38" w:rsidP="00321D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Agradeço ao CNPQ pelo auxílio financeiro por meio do PIBIC.</w:t>
      </w:r>
    </w:p>
    <w:p w:rsidR="00321D38" w:rsidRDefault="00321D38" w:rsidP="00321D38">
      <w:pPr>
        <w:rPr>
          <w:rFonts w:ascii="Arial" w:hAnsi="Arial" w:cs="Arial"/>
        </w:rPr>
      </w:pPr>
    </w:p>
    <w:p w:rsidR="00321D38" w:rsidRPr="00170FAD" w:rsidRDefault="00321D38" w:rsidP="00321D38">
      <w:pPr>
        <w:rPr>
          <w:rFonts w:ascii="Arial" w:hAnsi="Arial" w:cs="Arial"/>
        </w:rPr>
      </w:pPr>
      <w:r w:rsidRPr="00170FAD">
        <w:rPr>
          <w:rFonts w:ascii="Arial" w:hAnsi="Arial" w:cs="Arial"/>
          <w:b/>
        </w:rPr>
        <w:t>Referências</w:t>
      </w:r>
    </w:p>
    <w:p w:rsidR="00321D38" w:rsidRPr="00170FAD" w:rsidRDefault="00321D38" w:rsidP="00321D38">
      <w:pPr>
        <w:rPr>
          <w:rFonts w:ascii="Arial" w:hAnsi="Arial" w:cs="Arial"/>
        </w:rPr>
      </w:pPr>
    </w:p>
    <w:p w:rsidR="002B27EF" w:rsidRPr="00CE5E9D" w:rsidRDefault="002B27EF" w:rsidP="002B27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BRASIL. (2016). </w:t>
      </w:r>
      <w:r w:rsidRPr="00B9008D">
        <w:rPr>
          <w:rFonts w:ascii="Arial" w:hAnsi="Arial" w:cs="Arial"/>
          <w:b/>
        </w:rPr>
        <w:t>Ministério das Cidades. Secretaria Nacional de Saneamento Ambiental – SNSA.</w:t>
      </w:r>
      <w:r>
        <w:rPr>
          <w:rFonts w:ascii="Arial" w:hAnsi="Arial" w:cs="Arial"/>
        </w:rPr>
        <w:t xml:space="preserve"> Diagnóstico dos Serviços de Água e Esgotos de 2014. Brasília: SNSA/MCIDADES.</w:t>
      </w:r>
    </w:p>
    <w:p w:rsidR="002B27EF" w:rsidRPr="00170FAD" w:rsidRDefault="002B27EF" w:rsidP="00321D38">
      <w:pPr>
        <w:ind w:firstLine="708"/>
        <w:rPr>
          <w:rFonts w:ascii="Arial" w:hAnsi="Arial" w:cs="Arial"/>
        </w:rPr>
      </w:pPr>
    </w:p>
    <w:p w:rsidR="002B27EF" w:rsidRDefault="002B27EF" w:rsidP="002B27E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DZ 215-R4. (2007). Diretriz de controle de carga orgânica biodegradável em efluentes líquidos de origem sanitária. http://</w:t>
      </w:r>
      <w:r w:rsidRPr="00271EB9">
        <w:rPr>
          <w:rFonts w:ascii="Arial" w:hAnsi="Arial" w:cs="Arial"/>
        </w:rPr>
        <w:t>www.</w:t>
      </w:r>
      <w:r>
        <w:rPr>
          <w:rFonts w:ascii="Arial" w:hAnsi="Arial" w:cs="Arial"/>
        </w:rPr>
        <w:t>inea.rj.gov.br/cs/groups/public/documents/document/zwew/mde0/~edisp/inea0014063.pdf). Acesso em Janeiro de 2016.</w:t>
      </w:r>
    </w:p>
    <w:p w:rsidR="002B27EF" w:rsidRPr="00170FAD" w:rsidRDefault="002B27EF" w:rsidP="00321D38">
      <w:pPr>
        <w:ind w:firstLine="708"/>
        <w:rPr>
          <w:rFonts w:ascii="Arial" w:hAnsi="Arial" w:cs="Arial"/>
        </w:rPr>
      </w:pPr>
    </w:p>
    <w:p w:rsidR="002B27EF" w:rsidRDefault="002B27EF" w:rsidP="002B27E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França Junior, A. T. (2008). </w:t>
      </w:r>
      <w:r>
        <w:rPr>
          <w:rFonts w:ascii="Arial" w:hAnsi="Arial" w:cs="Arial"/>
          <w:i/>
        </w:rPr>
        <w:t xml:space="preserve">Análise do aproveitamento energético do biogás produzido numa estação de tratamento de esgoto. </w:t>
      </w:r>
      <w:r>
        <w:rPr>
          <w:rFonts w:ascii="Arial" w:hAnsi="Arial" w:cs="Arial"/>
        </w:rPr>
        <w:t>Dissertação de Mestrado. Universidade Estadual Paulista. Faculdade de Engenharia de Ilha Solteira.</w:t>
      </w:r>
    </w:p>
    <w:p w:rsidR="002B27EF" w:rsidRPr="00170FAD" w:rsidRDefault="002B27EF" w:rsidP="00321D38">
      <w:pPr>
        <w:ind w:firstLine="708"/>
        <w:rPr>
          <w:rFonts w:ascii="Arial" w:hAnsi="Arial" w:cs="Arial"/>
        </w:rPr>
      </w:pPr>
    </w:p>
    <w:p w:rsidR="002B27EF" w:rsidRDefault="002B27EF" w:rsidP="002B27E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IEA. (2015). </w:t>
      </w:r>
      <w:proofErr w:type="spellStart"/>
      <w:r>
        <w:rPr>
          <w:rFonts w:ascii="Arial" w:hAnsi="Arial" w:cs="Arial"/>
        </w:rPr>
        <w:t>Biogas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utilisation</w:t>
      </w:r>
      <w:proofErr w:type="spellEnd"/>
      <w:r>
        <w:rPr>
          <w:rFonts w:ascii="Arial" w:hAnsi="Arial" w:cs="Arial"/>
        </w:rPr>
        <w:t xml:space="preserve">. </w:t>
      </w:r>
      <w:r w:rsidRPr="00271EB9">
        <w:rPr>
          <w:rFonts w:ascii="Arial" w:hAnsi="Arial" w:cs="Arial"/>
        </w:rPr>
        <w:t>www.novaenergie.chS</w:t>
      </w:r>
      <w:r>
        <w:rPr>
          <w:rFonts w:ascii="Arial" w:hAnsi="Arial" w:cs="Arial"/>
        </w:rPr>
        <w:t>. Acesso em Outubro de 2015.</w:t>
      </w:r>
    </w:p>
    <w:p w:rsidR="002B27EF" w:rsidRPr="00170FAD" w:rsidRDefault="002B27EF" w:rsidP="00321D38">
      <w:pPr>
        <w:ind w:firstLine="708"/>
        <w:rPr>
          <w:rFonts w:ascii="Arial" w:hAnsi="Arial" w:cs="Arial"/>
        </w:rPr>
      </w:pPr>
    </w:p>
    <w:p w:rsidR="00321D38" w:rsidRPr="00BD5274" w:rsidRDefault="00321D38" w:rsidP="00321D38">
      <w:pPr>
        <w:ind w:firstLine="708"/>
        <w:rPr>
          <w:rFonts w:ascii="Arial" w:hAnsi="Arial" w:cs="Arial"/>
          <w:lang w:val="en-US"/>
        </w:rPr>
      </w:pPr>
      <w:proofErr w:type="spellStart"/>
      <w:r w:rsidRPr="00BD5274">
        <w:rPr>
          <w:rFonts w:ascii="Arial" w:hAnsi="Arial" w:cs="Arial"/>
          <w:lang w:val="en-US"/>
        </w:rPr>
        <w:t>Klass</w:t>
      </w:r>
      <w:proofErr w:type="spellEnd"/>
      <w:r w:rsidRPr="00BD5274">
        <w:rPr>
          <w:rFonts w:ascii="Arial" w:hAnsi="Arial" w:cs="Arial"/>
          <w:lang w:val="en-US"/>
        </w:rPr>
        <w:t xml:space="preserve">, D. L. (1998). </w:t>
      </w:r>
      <w:r w:rsidRPr="00BD5274">
        <w:rPr>
          <w:rFonts w:ascii="Arial" w:hAnsi="Arial" w:cs="Arial"/>
          <w:i/>
          <w:lang w:val="en-US"/>
        </w:rPr>
        <w:t>Biomass for Renewable Energy, Fuels and Chemicals</w:t>
      </w:r>
      <w:r w:rsidRPr="00BD5274">
        <w:rPr>
          <w:rFonts w:ascii="Arial" w:hAnsi="Arial" w:cs="Arial"/>
          <w:lang w:val="en-US"/>
        </w:rPr>
        <w:t>. San Diego: Academic Press.</w:t>
      </w:r>
    </w:p>
    <w:p w:rsidR="00321D38" w:rsidRPr="00BD5274" w:rsidRDefault="00321D38" w:rsidP="00321D38">
      <w:pPr>
        <w:ind w:firstLine="708"/>
        <w:rPr>
          <w:rFonts w:ascii="Arial" w:hAnsi="Arial" w:cs="Arial"/>
          <w:lang w:val="en-US"/>
        </w:rPr>
      </w:pPr>
    </w:p>
    <w:p w:rsidR="00321D38" w:rsidRDefault="00321D38" w:rsidP="00321D38">
      <w:pPr>
        <w:ind w:firstLine="708"/>
        <w:rPr>
          <w:rFonts w:ascii="Arial" w:hAnsi="Arial" w:cs="Arial"/>
        </w:rPr>
      </w:pPr>
      <w:proofErr w:type="spellStart"/>
      <w:r w:rsidRPr="00BD5274">
        <w:rPr>
          <w:rFonts w:ascii="Arial" w:hAnsi="Arial" w:cs="Arial"/>
          <w:lang w:val="en-US"/>
        </w:rPr>
        <w:t>Smil</w:t>
      </w:r>
      <w:proofErr w:type="spellEnd"/>
      <w:r w:rsidRPr="00BD5274">
        <w:rPr>
          <w:rFonts w:ascii="Arial" w:hAnsi="Arial" w:cs="Arial"/>
          <w:lang w:val="en-US"/>
        </w:rPr>
        <w:t xml:space="preserve">, V. (2002). Energy Resources and Uses: A Global Primer for the Twenty-First Century. </w:t>
      </w:r>
      <w:proofErr w:type="spellStart"/>
      <w:r w:rsidRPr="003719AF">
        <w:rPr>
          <w:rFonts w:ascii="Arial" w:hAnsi="Arial" w:cs="Arial"/>
          <w:i/>
        </w:rPr>
        <w:t>Current</w:t>
      </w:r>
      <w:proofErr w:type="spellEnd"/>
      <w:r w:rsidRPr="003719AF">
        <w:rPr>
          <w:rFonts w:ascii="Arial" w:hAnsi="Arial" w:cs="Arial"/>
          <w:i/>
        </w:rPr>
        <w:t xml:space="preserve"> </w:t>
      </w:r>
      <w:proofErr w:type="spellStart"/>
      <w:r w:rsidRPr="003719AF">
        <w:rPr>
          <w:rFonts w:ascii="Arial" w:hAnsi="Arial" w:cs="Arial"/>
          <w:i/>
        </w:rPr>
        <w:t>History</w:t>
      </w:r>
      <w:proofErr w:type="spellEnd"/>
      <w:r>
        <w:rPr>
          <w:rFonts w:ascii="Arial" w:hAnsi="Arial" w:cs="Arial"/>
        </w:rPr>
        <w:t xml:space="preserve"> </w:t>
      </w:r>
      <w:r w:rsidRPr="003719AF">
        <w:rPr>
          <w:rFonts w:ascii="Arial" w:hAnsi="Arial" w:cs="Arial"/>
          <w:b/>
        </w:rPr>
        <w:t>101</w:t>
      </w:r>
      <w:r>
        <w:rPr>
          <w:rFonts w:ascii="Arial" w:hAnsi="Arial" w:cs="Arial"/>
          <w:b/>
        </w:rPr>
        <w:t xml:space="preserve">, </w:t>
      </w:r>
      <w:r w:rsidRPr="003719AF">
        <w:rPr>
          <w:rFonts w:ascii="Arial" w:hAnsi="Arial" w:cs="Arial"/>
        </w:rPr>
        <w:t>126-132.</w:t>
      </w:r>
    </w:p>
    <w:p w:rsidR="002B27EF" w:rsidRDefault="002B27EF" w:rsidP="00321D38">
      <w:pPr>
        <w:ind w:firstLine="708"/>
        <w:rPr>
          <w:rFonts w:ascii="Arial" w:hAnsi="Arial" w:cs="Arial"/>
        </w:rPr>
      </w:pPr>
    </w:p>
    <w:p w:rsidR="00321D38" w:rsidRDefault="00321D38" w:rsidP="00321D38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Zilotti</w:t>
      </w:r>
      <w:proofErr w:type="spellEnd"/>
      <w:r>
        <w:rPr>
          <w:rFonts w:ascii="Arial" w:hAnsi="Arial" w:cs="Arial"/>
        </w:rPr>
        <w:t xml:space="preserve">, H. A. R. (2012). </w:t>
      </w:r>
      <w:r>
        <w:rPr>
          <w:rFonts w:ascii="Arial" w:hAnsi="Arial" w:cs="Arial"/>
          <w:i/>
        </w:rPr>
        <w:t xml:space="preserve">Potencial de produção de biogás em uma estação de tratamento de esgoto de Cascavel para a geração de energia elétrica. </w:t>
      </w:r>
      <w:r>
        <w:rPr>
          <w:rFonts w:ascii="Arial" w:hAnsi="Arial" w:cs="Arial"/>
        </w:rPr>
        <w:t>Dissertação de Mestrado, Programa de Pós-graduação em Engenharia na Agricultura. Universidade Estadual do Oeste do Paraná.</w:t>
      </w:r>
    </w:p>
    <w:p w:rsidR="00321D38" w:rsidRDefault="00321D38" w:rsidP="00321D38">
      <w:pPr>
        <w:ind w:firstLine="708"/>
        <w:rPr>
          <w:rFonts w:ascii="Arial" w:hAnsi="Arial" w:cs="Arial"/>
        </w:rPr>
      </w:pPr>
    </w:p>
    <w:p w:rsidR="00321D38" w:rsidRDefault="00321D38" w:rsidP="00321D38">
      <w:pPr>
        <w:ind w:firstLine="708"/>
        <w:rPr>
          <w:rFonts w:ascii="Arial" w:hAnsi="Arial" w:cs="Arial"/>
        </w:rPr>
      </w:pPr>
    </w:p>
    <w:p w:rsidR="00BA58AE" w:rsidRDefault="00BA58AE"/>
    <w:sectPr w:rsidR="00BA58AE" w:rsidSect="000F18A1">
      <w:headerReference w:type="default" r:id="rId10"/>
      <w:footerReference w:type="default" r:id="rId11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B7" w:rsidRDefault="002F0BB7">
      <w:r>
        <w:separator/>
      </w:r>
    </w:p>
  </w:endnote>
  <w:endnote w:type="continuationSeparator" w:id="0">
    <w:p w:rsidR="002F0BB7" w:rsidRDefault="002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321D38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0" t="0" r="0" b="9525"/>
          <wp:docPr id="3" name="Imagem 3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B7" w:rsidRDefault="002F0BB7">
      <w:r>
        <w:separator/>
      </w:r>
    </w:p>
  </w:footnote>
  <w:footnote w:type="continuationSeparator" w:id="0">
    <w:p w:rsidR="002F0BB7" w:rsidRDefault="002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321D38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0" t="0" r="0" b="9525"/>
          <wp:docPr id="4" name="Imagem 4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7302"/>
    <w:multiLevelType w:val="hybridMultilevel"/>
    <w:tmpl w:val="DC6A9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38"/>
    <w:rsid w:val="00012E57"/>
    <w:rsid w:val="000E0338"/>
    <w:rsid w:val="00170FAD"/>
    <w:rsid w:val="002B27EF"/>
    <w:rsid w:val="002F0BB7"/>
    <w:rsid w:val="00321D38"/>
    <w:rsid w:val="00887936"/>
    <w:rsid w:val="00894AE7"/>
    <w:rsid w:val="009801A3"/>
    <w:rsid w:val="009B4FD3"/>
    <w:rsid w:val="00B065AF"/>
    <w:rsid w:val="00B47B5C"/>
    <w:rsid w:val="00BA58AE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56A4-76BF-450E-913D-F9C2D40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3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D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D38"/>
    <w:rPr>
      <w:rFonts w:ascii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21D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D38"/>
    <w:rPr>
      <w:rFonts w:ascii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321D38"/>
    <w:rPr>
      <w:color w:val="0000FF"/>
      <w:u w:val="single"/>
    </w:rPr>
  </w:style>
  <w:style w:type="paragraph" w:customStyle="1" w:styleId="TCCCIVILCorpodotexto">
    <w:name w:val="TCC CIVIL: Corpo do texto"/>
    <w:rsid w:val="00321D38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21D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1D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1D38"/>
    <w:rPr>
      <w:rFonts w:ascii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D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D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ssaceccat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ocuments\Engenharia%20Civil%20-%20UNIOESTE\4&#186;%20ano\Projeto\Calculo_Potencial_Biog&#225;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ocuments\Engenharia%20Civil%20-%20UNIOESTE\4&#186;%20ano\Projeto\Projeto%201\Relat&#243;rio\Planilha-custos-VPL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Plan1!$H$13</c:f>
              <c:strCache>
                <c:ptCount val="1"/>
                <c:pt idx="0">
                  <c:v>P (kW)</c:v>
                </c:pt>
              </c:strCache>
            </c:strRef>
          </c:tx>
          <c:marker>
            <c:symbol val="none"/>
          </c:marker>
          <c:xVal>
            <c:numRef>
              <c:f>Plan1!$G$14:$G$23</c:f>
              <c:numCache>
                <c:formatCode>0.0</c:formatCode>
                <c:ptCount val="10"/>
                <c:pt idx="0">
                  <c:v>107.48069346992126</c:v>
                </c:pt>
                <c:pt idx="1">
                  <c:v>214.96138693984253</c:v>
                </c:pt>
                <c:pt idx="2">
                  <c:v>322.44208040976383</c:v>
                </c:pt>
                <c:pt idx="3">
                  <c:v>429.92277387968505</c:v>
                </c:pt>
                <c:pt idx="4">
                  <c:v>537.40346734960633</c:v>
                </c:pt>
                <c:pt idx="5">
                  <c:v>644.88416081952766</c:v>
                </c:pt>
                <c:pt idx="6">
                  <c:v>752.36485428944877</c:v>
                </c:pt>
                <c:pt idx="7">
                  <c:v>859.84554775937011</c:v>
                </c:pt>
                <c:pt idx="8">
                  <c:v>967.32624122929121</c:v>
                </c:pt>
                <c:pt idx="9">
                  <c:v>1074.8069346992127</c:v>
                </c:pt>
              </c:numCache>
            </c:numRef>
          </c:xVal>
          <c:yVal>
            <c:numRef>
              <c:f>Plan1!$H$14:$H$23</c:f>
              <c:numCache>
                <c:formatCode>0.0</c:formatCode>
                <c:ptCount val="10"/>
                <c:pt idx="0">
                  <c:v>139.30572680636499</c:v>
                </c:pt>
                <c:pt idx="1">
                  <c:v>278.61145361272997</c:v>
                </c:pt>
                <c:pt idx="2">
                  <c:v>417.91718041909496</c:v>
                </c:pt>
                <c:pt idx="3">
                  <c:v>557.22290722545995</c:v>
                </c:pt>
                <c:pt idx="4">
                  <c:v>696.52863403182494</c:v>
                </c:pt>
                <c:pt idx="5">
                  <c:v>835.83436083818992</c:v>
                </c:pt>
                <c:pt idx="6">
                  <c:v>975.14008764455468</c:v>
                </c:pt>
                <c:pt idx="7">
                  <c:v>1114.4458144509199</c:v>
                </c:pt>
                <c:pt idx="8">
                  <c:v>1253.7515412572845</c:v>
                </c:pt>
                <c:pt idx="9">
                  <c:v>1393.0572680636499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499792"/>
        <c:axId val="116499008"/>
      </c:scatterChart>
      <c:valAx>
        <c:axId val="1164997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Qbiogás (m³/h)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crossAx val="116499008"/>
        <c:crosses val="autoZero"/>
        <c:crossBetween val="midCat"/>
      </c:valAx>
      <c:valAx>
        <c:axId val="116499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 (kW)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crossAx val="11649979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'1000000 hab'!$J$18</c:f>
              <c:strCache>
                <c:ptCount val="1"/>
                <c:pt idx="0">
                  <c:v>NPV - Cenário CF3</c:v>
                </c:pt>
              </c:strCache>
            </c:strRef>
          </c:tx>
          <c:xVal>
            <c:numRef>
              <c:f>'1000000 hab'!$I$19:$I$139</c:f>
              <c:numCache>
                <c:formatCode>General</c:formatCode>
                <c:ptCount val="1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</c:numCache>
            </c:numRef>
          </c:xVal>
          <c:yVal>
            <c:numRef>
              <c:f>'1000000 hab'!$J$19:$J$139</c:f>
              <c:numCache>
                <c:formatCode>0.00</c:formatCode>
                <c:ptCount val="121"/>
                <c:pt idx="0">
                  <c:v>-2786200</c:v>
                </c:pt>
                <c:pt idx="1">
                  <c:v>-2366510.349790602</c:v>
                </c:pt>
                <c:pt idx="2">
                  <c:v>-1951318.6100945773</c:v>
                </c:pt>
                <c:pt idx="3">
                  <c:v>-1540576.5757703979</c:v>
                </c:pt>
                <c:pt idx="4">
                  <c:v>-1134236.5583021247</c:v>
                </c:pt>
                <c:pt idx="5">
                  <c:v>-732251.38026261295</c:v>
                </c:pt>
                <c:pt idx="6">
                  <c:v>-334574.36983605556</c:v>
                </c:pt>
                <c:pt idx="7">
                  <c:v>58840.644600769563</c:v>
                </c:pt>
                <c:pt idx="8">
                  <c:v>448039.3398391786</c:v>
                </c:pt>
                <c:pt idx="9">
                  <c:v>833066.90314180916</c:v>
                </c:pt>
                <c:pt idx="10">
                  <c:v>1213968.0374890117</c:v>
                </c:pt>
                <c:pt idx="11">
                  <c:v>1590786.9667690143</c:v>
                </c:pt>
                <c:pt idx="12">
                  <c:v>1963567.4409124628</c:v>
                </c:pt>
                <c:pt idx="13">
                  <c:v>2332352.7409719336</c:v>
                </c:pt>
                <c:pt idx="14">
                  <c:v>2697185.6841470078</c:v>
                </c:pt>
                <c:pt idx="15">
                  <c:v>3058108.6287554903</c:v>
                </c:pt>
                <c:pt idx="16">
                  <c:v>3415163.4791513509</c:v>
                </c:pt>
                <c:pt idx="17">
                  <c:v>3768391.6905899602</c:v>
                </c:pt>
                <c:pt idx="18">
                  <c:v>4117834.274041181</c:v>
                </c:pt>
                <c:pt idx="19">
                  <c:v>4463531.8009508802</c:v>
                </c:pt>
                <c:pt idx="20">
                  <c:v>4805524.4079514071</c:v>
                </c:pt>
                <c:pt idx="21">
                  <c:v>5143851.80152159</c:v>
                </c:pt>
                <c:pt idx="22">
                  <c:v>5478553.2625967916</c:v>
                </c:pt>
                <c:pt idx="23">
                  <c:v>5809667.651129555</c:v>
                </c:pt>
                <c:pt idx="24">
                  <c:v>6137233.4106013738</c:v>
                </c:pt>
                <c:pt idx="25">
                  <c:v>6461288.5724861082</c:v>
                </c:pt>
                <c:pt idx="26">
                  <c:v>6781870.7606655648</c:v>
                </c:pt>
                <c:pt idx="27">
                  <c:v>7099017.1957977563</c:v>
                </c:pt>
                <c:pt idx="28">
                  <c:v>7412764.6996383416</c:v>
                </c:pt>
                <c:pt idx="29">
                  <c:v>7723149.6993157547</c:v>
                </c:pt>
                <c:pt idx="30">
                  <c:v>8030208.2315605162</c:v>
                </c:pt>
                <c:pt idx="31">
                  <c:v>8333975.946889217</c:v>
                </c:pt>
                <c:pt idx="32">
                  <c:v>8634488.113743661</c:v>
                </c:pt>
                <c:pt idx="33">
                  <c:v>8931779.6225856505</c:v>
                </c:pt>
                <c:pt idx="34">
                  <c:v>9225884.9899478815</c:v>
                </c:pt>
                <c:pt idx="35">
                  <c:v>9516838.3624414336</c:v>
                </c:pt>
                <c:pt idx="36">
                  <c:v>9804673.5207202975</c:v>
                </c:pt>
                <c:pt idx="37">
                  <c:v>10089423.883403428</c:v>
                </c:pt>
                <c:pt idx="38">
                  <c:v>10371122.510954753</c:v>
                </c:pt>
                <c:pt idx="39">
                  <c:v>10649802.109521603</c:v>
                </c:pt>
                <c:pt idx="40">
                  <c:v>10925495.034732006</c:v>
                </c:pt>
                <c:pt idx="41">
                  <c:v>11198233.295451285</c:v>
                </c:pt>
                <c:pt idx="42">
                  <c:v>11468048.557498386</c:v>
                </c:pt>
                <c:pt idx="43">
                  <c:v>11734972.147322394</c:v>
                </c:pt>
                <c:pt idx="44">
                  <c:v>11999035.055639632</c:v>
                </c:pt>
                <c:pt idx="45">
                  <c:v>12260267.941031788</c:v>
                </c:pt>
                <c:pt idx="46">
                  <c:v>12518701.133505479</c:v>
                </c:pt>
                <c:pt idx="47">
                  <c:v>12774364.638013665</c:v>
                </c:pt>
                <c:pt idx="48">
                  <c:v>13027288.137939323</c:v>
                </c:pt>
                <c:pt idx="49">
                  <c:v>13277500.998541787</c:v>
                </c:pt>
                <c:pt idx="50">
                  <c:v>13525032.270366155</c:v>
                </c:pt>
                <c:pt idx="51">
                  <c:v>13769910.692616148</c:v>
                </c:pt>
                <c:pt idx="52">
                  <c:v>14012164.696490832</c:v>
                </c:pt>
                <c:pt idx="53">
                  <c:v>14251822.408485573</c:v>
                </c:pt>
                <c:pt idx="54">
                  <c:v>14488911.653657617</c:v>
                </c:pt>
                <c:pt idx="55">
                  <c:v>14723459.95885667</c:v>
                </c:pt>
                <c:pt idx="56">
                  <c:v>14955494.555920862</c:v>
                </c:pt>
                <c:pt idx="57">
                  <c:v>15185042.384838447</c:v>
                </c:pt>
                <c:pt idx="58">
                  <c:v>15412130.096875628</c:v>
                </c:pt>
                <c:pt idx="59">
                  <c:v>15636784.057670861</c:v>
                </c:pt>
                <c:pt idx="60">
                  <c:v>15859030.350295989</c:v>
                </c:pt>
                <c:pt idx="61">
                  <c:v>16078894.778284574</c:v>
                </c:pt>
                <c:pt idx="62">
                  <c:v>16296402.868627774</c:v>
                </c:pt>
                <c:pt idx="63">
                  <c:v>16511579.874738112</c:v>
                </c:pt>
                <c:pt idx="64">
                  <c:v>16724450.77938148</c:v>
                </c:pt>
                <c:pt idx="65">
                  <c:v>16935040.297577724</c:v>
                </c:pt>
                <c:pt idx="66">
                  <c:v>17143372.879470132</c:v>
                </c:pt>
                <c:pt idx="67">
                  <c:v>17349472.713164188</c:v>
                </c:pt>
                <c:pt idx="68">
                  <c:v>17553363.727535885</c:v>
                </c:pt>
                <c:pt idx="69">
                  <c:v>17755069.595009945</c:v>
                </c:pt>
                <c:pt idx="70">
                  <c:v>17954613.734308273</c:v>
                </c:pt>
                <c:pt idx="71">
                  <c:v>18152019.313168943</c:v>
                </c:pt>
                <c:pt idx="72">
                  <c:v>18347309.251036052</c:v>
                </c:pt>
                <c:pt idx="73">
                  <c:v>18540506.221720744</c:v>
                </c:pt>
                <c:pt idx="74">
                  <c:v>18731632.656033713</c:v>
                </c:pt>
                <c:pt idx="75">
                  <c:v>18920710.744389497</c:v>
                </c:pt>
                <c:pt idx="76">
                  <c:v>19107762.439382851</c:v>
                </c:pt>
                <c:pt idx="77">
                  <c:v>19292809.45833753</c:v>
                </c:pt>
                <c:pt idx="78">
                  <c:v>19475873.28582773</c:v>
                </c:pt>
                <c:pt idx="79">
                  <c:v>19656975.176172528</c:v>
                </c:pt>
                <c:pt idx="80">
                  <c:v>19836136.155903574</c:v>
                </c:pt>
                <c:pt idx="81">
                  <c:v>20013377.026206341</c:v>
                </c:pt>
                <c:pt idx="82">
                  <c:v>20188718.365335211</c:v>
                </c:pt>
                <c:pt idx="83">
                  <c:v>20362180.531002682</c:v>
                </c:pt>
                <c:pt idx="84">
                  <c:v>20533783.662742969</c:v>
                </c:pt>
                <c:pt idx="85">
                  <c:v>20703547.684250258</c:v>
                </c:pt>
                <c:pt idx="86">
                  <c:v>20871492.305691931</c:v>
                </c:pt>
                <c:pt idx="87">
                  <c:v>21037637.025996964</c:v>
                </c:pt>
                <c:pt idx="88">
                  <c:v>21202001.135119833</c:v>
                </c:pt>
                <c:pt idx="89">
                  <c:v>21364603.716280133</c:v>
                </c:pt>
                <c:pt idx="90">
                  <c:v>21525463.648178205</c:v>
                </c:pt>
                <c:pt idx="91">
                  <c:v>21684599.607187014</c:v>
                </c:pt>
                <c:pt idx="92">
                  <c:v>21842030.069520544</c:v>
                </c:pt>
                <c:pt idx="93">
                  <c:v>21997773.313378941</c:v>
                </c:pt>
                <c:pt idx="94">
                  <c:v>22151847.421070676</c:v>
                </c:pt>
                <c:pt idx="95">
                  <c:v>22304270.281111963</c:v>
                </c:pt>
                <c:pt idx="96">
                  <c:v>22455059.590303674</c:v>
                </c:pt>
                <c:pt idx="97">
                  <c:v>22604232.855785996</c:v>
                </c:pt>
                <c:pt idx="98">
                  <c:v>22751807.39707106</c:v>
                </c:pt>
                <c:pt idx="99">
                  <c:v>22897800.348053813</c:v>
                </c:pt>
                <c:pt idx="100">
                  <c:v>23042228.659001302</c:v>
                </c:pt>
                <c:pt idx="101">
                  <c:v>23185109.098520663</c:v>
                </c:pt>
                <c:pt idx="102">
                  <c:v>23326458.255506016</c:v>
                </c:pt>
                <c:pt idx="103">
                  <c:v>23466292.541064486</c:v>
                </c:pt>
                <c:pt idx="104">
                  <c:v>23604628.190421589</c:v>
                </c:pt>
                <c:pt idx="105">
                  <c:v>23741481.264806189</c:v>
                </c:pt>
                <c:pt idx="106">
                  <c:v>23876867.653315276</c:v>
                </c:pt>
                <c:pt idx="107">
                  <c:v>24010803.074758723</c:v>
                </c:pt>
                <c:pt idx="108">
                  <c:v>24143303.07948431</c:v>
                </c:pt>
                <c:pt idx="109">
                  <c:v>24274383.05118316</c:v>
                </c:pt>
                <c:pt idx="110">
                  <c:v>24404058.208675839</c:v>
                </c:pt>
                <c:pt idx="111">
                  <c:v>24532343.607679315</c:v>
                </c:pt>
                <c:pt idx="112">
                  <c:v>24659254.142554972</c:v>
                </c:pt>
                <c:pt idx="113">
                  <c:v>24784804.548037898</c:v>
                </c:pt>
                <c:pt idx="114">
                  <c:v>24909009.400947634</c:v>
                </c:pt>
                <c:pt idx="115">
                  <c:v>25031883.121880595</c:v>
                </c:pt>
                <c:pt idx="116">
                  <c:v>25153439.97688435</c:v>
                </c:pt>
                <c:pt idx="117">
                  <c:v>25273694.079113949</c:v>
                </c:pt>
                <c:pt idx="118">
                  <c:v>25392659.39047052</c:v>
                </c:pt>
                <c:pt idx="119">
                  <c:v>25510349.723222278</c:v>
                </c:pt>
                <c:pt idx="120">
                  <c:v>25626778.741608191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146960"/>
        <c:axId val="256148528"/>
      </c:scatterChart>
      <c:valAx>
        <c:axId val="256146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Meses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56148528"/>
        <c:crosses val="autoZero"/>
        <c:crossBetween val="midCat"/>
      </c:valAx>
      <c:valAx>
        <c:axId val="256148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VPL (R$)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5614696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Andreia Herdies</cp:lastModifiedBy>
  <cp:revision>2</cp:revision>
  <dcterms:created xsi:type="dcterms:W3CDTF">2016-08-26T14:53:00Z</dcterms:created>
  <dcterms:modified xsi:type="dcterms:W3CDTF">2016-08-26T14:53:00Z</dcterms:modified>
</cp:coreProperties>
</file>