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A9" w:rsidRDefault="00151150" w:rsidP="001F4A4A">
      <w:pPr>
        <w:pStyle w:val="Corpodetexto3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Cara</w:t>
      </w:r>
      <w:r w:rsidRPr="0018704E">
        <w:rPr>
          <w:rFonts w:ascii="Arial" w:hAnsi="Arial" w:cs="Arial"/>
          <w:b/>
          <w:sz w:val="28"/>
          <w:szCs w:val="24"/>
        </w:rPr>
        <w:t xml:space="preserve">cterização </w:t>
      </w:r>
      <w:r>
        <w:rPr>
          <w:rFonts w:ascii="Arial" w:hAnsi="Arial" w:cs="Arial"/>
          <w:b/>
          <w:sz w:val="28"/>
          <w:szCs w:val="24"/>
        </w:rPr>
        <w:t>granulométrica de registros pedo</w:t>
      </w:r>
      <w:r w:rsidRPr="0018704E">
        <w:rPr>
          <w:rFonts w:ascii="Arial" w:hAnsi="Arial" w:cs="Arial"/>
          <w:b/>
          <w:sz w:val="28"/>
          <w:szCs w:val="24"/>
        </w:rPr>
        <w:t>estratigráfic</w:t>
      </w:r>
      <w:r>
        <w:rPr>
          <w:rFonts w:ascii="Arial" w:hAnsi="Arial" w:cs="Arial"/>
          <w:b/>
          <w:sz w:val="28"/>
          <w:szCs w:val="24"/>
        </w:rPr>
        <w:t xml:space="preserve">os em paleocanal de segunda ordem na superfície de São José dos Ausentes </w:t>
      </w:r>
      <w:r w:rsidR="000242A9">
        <w:rPr>
          <w:rFonts w:ascii="Arial" w:hAnsi="Arial" w:cs="Arial"/>
          <w:b/>
          <w:sz w:val="28"/>
          <w:szCs w:val="24"/>
        </w:rPr>
        <w:t>(RS)</w:t>
      </w:r>
    </w:p>
    <w:p w:rsidR="001F4A4A" w:rsidRPr="0018704E" w:rsidRDefault="001F4A4A" w:rsidP="001F4A4A">
      <w:pPr>
        <w:pStyle w:val="Corpodetexto3"/>
        <w:spacing w:after="0" w:line="240" w:lineRule="auto"/>
        <w:jc w:val="center"/>
        <w:outlineLvl w:val="0"/>
        <w:rPr>
          <w:rFonts w:ascii="Arial" w:hAnsi="Arial" w:cs="Arial"/>
          <w:sz w:val="18"/>
        </w:rPr>
      </w:pPr>
    </w:p>
    <w:p w:rsidR="00151150" w:rsidRDefault="000242A9" w:rsidP="00FE0A87">
      <w:pPr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Alana Jaqueline Cavazine</w:t>
      </w:r>
      <w:r w:rsidR="00FE0A87">
        <w:rPr>
          <w:rFonts w:ascii="Arial" w:hAnsi="Arial" w:cs="Arial"/>
        </w:rPr>
        <w:t xml:space="preserve"> (PIBIC/CNPq/Unioeste), </w:t>
      </w:r>
      <w:r>
        <w:rPr>
          <w:rFonts w:ascii="Arial" w:hAnsi="Arial" w:cs="Arial"/>
        </w:rPr>
        <w:t>Josiele Samara Pereira</w:t>
      </w:r>
      <w:r w:rsidR="001511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Julio Cesar Paisani </w:t>
      </w:r>
      <w:r w:rsidR="00FE0A87">
        <w:rPr>
          <w:rFonts w:ascii="Arial" w:hAnsi="Arial" w:cs="Arial"/>
        </w:rPr>
        <w:t xml:space="preserve">(Orientador), e-mail: </w:t>
      </w:r>
      <w:hyperlink r:id="rId7" w:history="1">
        <w:r w:rsidR="001F4A4A" w:rsidRPr="004E2AB9">
          <w:rPr>
            <w:rStyle w:val="Hyperlink"/>
            <w:rFonts w:ascii="Arial" w:hAnsi="Arial" w:cs="Arial"/>
          </w:rPr>
          <w:t>alana_cavazini@outlook.com</w:t>
        </w:r>
      </w:hyperlink>
    </w:p>
    <w:p w:rsidR="00FE0A87" w:rsidRDefault="001F4A4A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E0A87" w:rsidRDefault="00FE0A87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Estadual do Oeste do Paraná/Centro de Ciências </w:t>
      </w:r>
      <w:r w:rsidR="00F92417">
        <w:rPr>
          <w:rFonts w:ascii="Arial" w:hAnsi="Arial" w:cs="Arial"/>
        </w:rPr>
        <w:t>Humanas/Francisco Beltrão</w:t>
      </w:r>
      <w:r>
        <w:rPr>
          <w:rFonts w:ascii="Arial" w:hAnsi="Arial" w:cs="Arial"/>
        </w:rPr>
        <w:t xml:space="preserve">, PR </w:t>
      </w:r>
    </w:p>
    <w:p w:rsidR="00FE0A87" w:rsidRDefault="00FE0A87" w:rsidP="00FE0A87"/>
    <w:p w:rsidR="00FE0A87" w:rsidRDefault="00F92417" w:rsidP="00FE0A87">
      <w:pPr>
        <w:jc w:val="both"/>
        <w:rPr>
          <w:rFonts w:ascii="Arial" w:hAnsi="Arial" w:cs="Arial"/>
          <w:b/>
        </w:rPr>
      </w:pPr>
      <w:r w:rsidRPr="00F92417">
        <w:rPr>
          <w:rFonts w:ascii="Arial" w:hAnsi="Arial" w:cs="Arial"/>
        </w:rPr>
        <w:t>Ciências Exatas e da Terra</w:t>
      </w:r>
      <w:r w:rsidR="00151150">
        <w:rPr>
          <w:rFonts w:ascii="Arial" w:hAnsi="Arial" w:cs="Arial"/>
        </w:rPr>
        <w:t xml:space="preserve"> - </w:t>
      </w:r>
      <w:r w:rsidRPr="00F92417">
        <w:rPr>
          <w:rFonts w:ascii="Arial" w:hAnsi="Arial" w:cs="Arial"/>
        </w:rPr>
        <w:t>Geociências</w:t>
      </w:r>
    </w:p>
    <w:p w:rsidR="00FE0A87" w:rsidRDefault="00FE0A87" w:rsidP="00FE0A87">
      <w:pPr>
        <w:jc w:val="both"/>
      </w:pPr>
    </w:p>
    <w:p w:rsidR="00FE0A87" w:rsidRDefault="00FE0A87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091208" w:rsidRPr="00091208">
        <w:rPr>
          <w:rFonts w:ascii="Arial" w:hAnsi="Arial" w:cs="Arial"/>
        </w:rPr>
        <w:t>colúvio, Quaternário, Geomorfologia.</w:t>
      </w:r>
    </w:p>
    <w:p w:rsidR="00FE0A87" w:rsidRDefault="00FE0A87" w:rsidP="00FE0A87"/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:rsidR="00091208" w:rsidRDefault="00091208" w:rsidP="0009597E">
      <w:pPr>
        <w:pStyle w:val="SemEspaamento"/>
        <w:jc w:val="both"/>
        <w:rPr>
          <w:rFonts w:ascii="Arial" w:hAnsi="Arial" w:cs="Arial"/>
          <w:bCs/>
          <w:color w:val="FF0066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O presente trabalho traz resultados da determinação granulométrica de registros pedoestratigráficos em paleocanal de Segunda Ordem na Superfície de São José dos Ausentes (RS). Em campo foram coletadas vinte e cinto</w:t>
      </w:r>
      <w:r w:rsidR="0071259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amostras deformadas para diferentes análises, incluindo a granulométrica. A referida determinação foi realizada </w:t>
      </w:r>
      <w:r w:rsidRPr="00043239">
        <w:rPr>
          <w:rFonts w:ascii="Arial" w:hAnsi="Arial" w:cs="Arial"/>
          <w:sz w:val="24"/>
          <w:szCs w:val="24"/>
        </w:rPr>
        <w:t>no Laboratório de Análise de Formações Superficiais da UNIOESTE</w:t>
      </w:r>
      <w:r>
        <w:rPr>
          <w:rFonts w:ascii="Arial" w:hAnsi="Arial" w:cs="Arial"/>
          <w:sz w:val="24"/>
          <w:szCs w:val="24"/>
        </w:rPr>
        <w:t>, Campus Francisco Beltrão</w:t>
      </w:r>
      <w:r w:rsidRPr="0004323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Procedeu-se </w:t>
      </w:r>
      <w:r w:rsidRPr="00043239">
        <w:rPr>
          <w:rFonts w:ascii="Arial" w:hAnsi="Arial" w:cs="Arial"/>
          <w:sz w:val="24"/>
          <w:szCs w:val="24"/>
        </w:rPr>
        <w:t xml:space="preserve">quarteamento de </w:t>
      </w:r>
      <w:r>
        <w:rPr>
          <w:rFonts w:ascii="Arial" w:hAnsi="Arial" w:cs="Arial"/>
          <w:sz w:val="24"/>
          <w:szCs w:val="24"/>
        </w:rPr>
        <w:t xml:space="preserve">cada </w:t>
      </w:r>
      <w:r w:rsidRPr="00043239">
        <w:rPr>
          <w:rFonts w:ascii="Arial" w:hAnsi="Arial" w:cs="Arial"/>
          <w:sz w:val="24"/>
          <w:szCs w:val="24"/>
        </w:rPr>
        <w:t>amostra, peneiramento para a fração grossa e pipetagem para a fração fina</w:t>
      </w:r>
      <w:r>
        <w:rPr>
          <w:rFonts w:ascii="Arial" w:hAnsi="Arial" w:cs="Arial"/>
          <w:sz w:val="24"/>
          <w:szCs w:val="24"/>
        </w:rPr>
        <w:t>, com separação via úmida</w:t>
      </w:r>
      <w:r w:rsidRPr="000432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Membros do grupo de pesquisa reconheceram vinte e sete unidades pedoestratigráficas (</w:t>
      </w:r>
      <w:r w:rsidRPr="00091208">
        <w:rPr>
          <w:rFonts w:ascii="Arial" w:hAnsi="Arial" w:cs="Arial"/>
          <w:color w:val="000000"/>
          <w:sz w:val="24"/>
          <w:szCs w:val="24"/>
          <w:lang w:eastAsia="pt-BR"/>
        </w:rPr>
        <w:t>Ap, AB e Bt1, Bt2b, 3Bt3b, 4Cb, 5Cb, 6Cb, 7Cb, 8Cb, 9Cb, 10Cb, 11Cb, 12Cb, 13Cb, 14Cb, 15Cb, 16Cb, 17Cb, 18Cb, 19Cb, 20Cb, 21Cg1b, 22Cg2b, 23Cg3b, 24Cg4b, 25Cg5b, 26Cg6b e 27RCg7. A granulometria dessas unidades mostrou correspondência com as variações de concentração de clastos reconhecidas em campo, permitindo aferir os limites entre as unidades.</w:t>
      </w:r>
      <w:r>
        <w:rPr>
          <w:rFonts w:ascii="Arial" w:hAnsi="Arial" w:cs="Arial"/>
          <w:bCs/>
          <w:color w:val="FF0066"/>
          <w:sz w:val="24"/>
          <w:szCs w:val="24"/>
        </w:rPr>
        <w:t xml:space="preserve"> </w:t>
      </w:r>
    </w:p>
    <w:p w:rsidR="00FE0A87" w:rsidRDefault="00FE0A87" w:rsidP="00FE0A87">
      <w:pPr>
        <w:jc w:val="both"/>
        <w:rPr>
          <w:rFonts w:ascii="Arial" w:hAnsi="Arial" w:cs="Arial"/>
        </w:rPr>
      </w:pPr>
    </w:p>
    <w:p w:rsidR="00FE0A87" w:rsidRDefault="00FE0A87" w:rsidP="00FE0A87">
      <w:r>
        <w:rPr>
          <w:rFonts w:ascii="Arial" w:hAnsi="Arial" w:cs="Arial"/>
          <w:b/>
        </w:rPr>
        <w:t>Introdução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FE0A87" w:rsidRDefault="00CF7FE0" w:rsidP="0084449C">
      <w:pPr>
        <w:pStyle w:val="SemEspaamento"/>
        <w:ind w:firstLine="708"/>
        <w:jc w:val="both"/>
        <w:rPr>
          <w:rFonts w:ascii="Arial" w:eastAsia="Calibri" w:hAnsi="Arial" w:cs="Arial"/>
        </w:rPr>
      </w:pPr>
      <w:r w:rsidRPr="00F27A87">
        <w:rPr>
          <w:rFonts w:ascii="Arial" w:hAnsi="Arial" w:cs="Arial"/>
          <w:sz w:val="24"/>
          <w:szCs w:val="24"/>
        </w:rPr>
        <w:t>O Grupo de Estudos de Gênese e Evolução de Formações Superficiais, vinculado a UNIOESTE/Francisco Beltrão vêm estudando a evolução geomorfológica do Planalto das Araucárias, com ênfase nos estados do Paraná e Santa Catarina, utilizando de assinaturas biológicas, pedológicas e sedimentológicas</w:t>
      </w:r>
      <w:r w:rsidR="00430E38">
        <w:rPr>
          <w:rFonts w:ascii="Arial" w:hAnsi="Arial" w:cs="Arial"/>
          <w:sz w:val="24"/>
          <w:szCs w:val="24"/>
        </w:rPr>
        <w:t xml:space="preserve"> (</w:t>
      </w:r>
      <w:r w:rsidR="00430E38" w:rsidRPr="004C6617">
        <w:rPr>
          <w:rFonts w:ascii="Arial" w:hAnsi="Arial" w:cs="Arial"/>
          <w:sz w:val="24"/>
          <w:szCs w:val="24"/>
        </w:rPr>
        <w:t>Paisani et al., 2014; 2016)</w:t>
      </w:r>
      <w:r w:rsidRPr="004C6617">
        <w:rPr>
          <w:rFonts w:ascii="Arial" w:hAnsi="Arial" w:cs="Arial"/>
          <w:sz w:val="24"/>
          <w:szCs w:val="24"/>
        </w:rPr>
        <w:t>. Ao</w:t>
      </w:r>
      <w:r w:rsidRPr="00F27A87">
        <w:rPr>
          <w:rFonts w:ascii="Arial" w:hAnsi="Arial" w:cs="Arial"/>
          <w:sz w:val="24"/>
          <w:szCs w:val="24"/>
        </w:rPr>
        <w:t xml:space="preserve"> passar do tempo </w:t>
      </w:r>
      <w:r w:rsidRPr="00F27A87">
        <w:rPr>
          <w:rFonts w:ascii="Arial" w:eastAsia="Calibri" w:hAnsi="Arial" w:cs="Arial"/>
          <w:sz w:val="24"/>
          <w:szCs w:val="24"/>
        </w:rPr>
        <w:t xml:space="preserve">necessitou-se expandir a área de estudo na tentativa de saber se os fenômenos identificados ao longo destas superfícies são regionais ou locais, assim, optou-se em estudar a região sudeste de Santa Catarina e Nordeste do Rio Grande do Sul, entre </w:t>
      </w:r>
      <w:r w:rsidRPr="00F27A87">
        <w:rPr>
          <w:rFonts w:ascii="Arial" w:hAnsi="Arial" w:cs="Arial"/>
          <w:sz w:val="24"/>
          <w:szCs w:val="24"/>
        </w:rPr>
        <w:t>São Joaquim (SC) /São José dos Ausentes (RS),</w:t>
      </w:r>
      <w:r w:rsidRPr="00F27A87">
        <w:rPr>
          <w:rFonts w:ascii="Arial" w:eastAsia="Calibri" w:hAnsi="Arial" w:cs="Arial"/>
          <w:sz w:val="24"/>
          <w:szCs w:val="24"/>
        </w:rPr>
        <w:t xml:space="preserve"> </w:t>
      </w:r>
      <w:r w:rsidR="0084449C">
        <w:rPr>
          <w:rFonts w:ascii="Arial" w:eastAsia="Calibri" w:hAnsi="Arial" w:cs="Arial"/>
          <w:sz w:val="24"/>
          <w:szCs w:val="24"/>
        </w:rPr>
        <w:t xml:space="preserve">pretendendo </w:t>
      </w:r>
      <w:r w:rsidRPr="00F27A87">
        <w:rPr>
          <w:rFonts w:ascii="Arial" w:eastAsia="Calibri" w:hAnsi="Arial" w:cs="Arial"/>
          <w:sz w:val="24"/>
          <w:szCs w:val="24"/>
        </w:rPr>
        <w:t xml:space="preserve">contribuir para a reconstrução paleoambiental continental do sul do Brasil. </w:t>
      </w:r>
      <w:r w:rsidR="0084449C">
        <w:rPr>
          <w:rFonts w:ascii="Arial" w:eastAsia="Calibri" w:hAnsi="Arial" w:cs="Arial"/>
          <w:sz w:val="24"/>
          <w:szCs w:val="24"/>
        </w:rPr>
        <w:t xml:space="preserve">É nesse contexto que se insere o presente trabalho e </w:t>
      </w:r>
      <w:r w:rsidR="0084449C">
        <w:rPr>
          <w:rFonts w:ascii="Arial" w:eastAsia="Calibri" w:hAnsi="Arial" w:cs="Arial"/>
          <w:sz w:val="24"/>
          <w:szCs w:val="24"/>
        </w:rPr>
        <w:lastRenderedPageBreak/>
        <w:t>buscou determinar a granulometria de registros pedoestratigráficos em paleocanal de Segunda Ordem na Superfície de São José dos Ausentes (RS).</w:t>
      </w:r>
    </w:p>
    <w:p w:rsidR="0084449C" w:rsidRDefault="0084449C" w:rsidP="00FE0A87">
      <w:pPr>
        <w:jc w:val="both"/>
      </w:pPr>
    </w:p>
    <w:p w:rsidR="00FE0A87" w:rsidRPr="00E21690" w:rsidRDefault="00A0230A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</w:t>
      </w:r>
      <w:r w:rsidR="00FE0A87" w:rsidRPr="00E21690">
        <w:rPr>
          <w:rFonts w:ascii="Arial" w:hAnsi="Arial" w:cs="Arial"/>
          <w:b/>
        </w:rPr>
        <w:t xml:space="preserve"> e </w:t>
      </w:r>
      <w:r w:rsidR="005E41B6">
        <w:rPr>
          <w:rFonts w:ascii="Arial" w:hAnsi="Arial" w:cs="Arial"/>
          <w:b/>
        </w:rPr>
        <w:t>M</w:t>
      </w:r>
      <w:r w:rsidR="00FE0A87" w:rsidRPr="00E21690">
        <w:rPr>
          <w:rFonts w:ascii="Arial" w:hAnsi="Arial" w:cs="Arial"/>
          <w:b/>
        </w:rPr>
        <w:t>étodos</w:t>
      </w:r>
    </w:p>
    <w:p w:rsidR="00FE0A87" w:rsidRDefault="00FE0A87" w:rsidP="00FE0A87">
      <w:pPr>
        <w:jc w:val="both"/>
      </w:pPr>
    </w:p>
    <w:p w:rsidR="00FE0A87" w:rsidRDefault="00582A0E" w:rsidP="0009597E">
      <w:pPr>
        <w:ind w:firstLine="708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A análise granulométrica foi estabelecida em materiais da seção pedoestratigráfica SJA1 situada em São José dos Ausentes (RS). Trata-se de seção transversal a canal de drenagem que foi colmatado por processos sedimentares de encosta (paleocanal). Em campo foram coletadas vinte e cinto</w:t>
      </w:r>
      <w:r w:rsidR="007125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amostras deformadas para diferentes análises, incluindo a granulométrica. Dessas amostras foram extraídas subamostras, das quais </w:t>
      </w:r>
      <w:r>
        <w:rPr>
          <w:rFonts w:ascii="Arial" w:hAnsi="Arial" w:cs="Arial"/>
        </w:rPr>
        <w:t xml:space="preserve">procedeu-se </w:t>
      </w:r>
      <w:r w:rsidRPr="00043239">
        <w:rPr>
          <w:rFonts w:ascii="Arial" w:hAnsi="Arial" w:cs="Arial"/>
        </w:rPr>
        <w:t xml:space="preserve">quarteamento de </w:t>
      </w:r>
      <w:r>
        <w:rPr>
          <w:rFonts w:ascii="Arial" w:hAnsi="Arial" w:cs="Arial"/>
        </w:rPr>
        <w:t xml:space="preserve">cada </w:t>
      </w:r>
      <w:r w:rsidRPr="00043239">
        <w:rPr>
          <w:rFonts w:ascii="Arial" w:hAnsi="Arial" w:cs="Arial"/>
        </w:rPr>
        <w:t>amostra, peneiramento para a fração grossa e pipetagem para a fração fina</w:t>
      </w:r>
      <w:r>
        <w:rPr>
          <w:rFonts w:ascii="Arial" w:hAnsi="Arial" w:cs="Arial"/>
        </w:rPr>
        <w:t xml:space="preserve">, com separação via </w:t>
      </w:r>
      <w:r w:rsidRPr="004C6617">
        <w:rPr>
          <w:rFonts w:ascii="Arial" w:hAnsi="Arial" w:cs="Arial"/>
        </w:rPr>
        <w:t>úmida</w:t>
      </w:r>
      <w:r w:rsidR="00430E38" w:rsidRPr="004C6617">
        <w:rPr>
          <w:rFonts w:ascii="Arial" w:hAnsi="Arial" w:cs="Arial"/>
        </w:rPr>
        <w:t xml:space="preserve"> (Paisani, 1998)</w:t>
      </w:r>
      <w:r w:rsidRPr="004C66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A referida determinação foi realizada </w:t>
      </w:r>
      <w:r w:rsidRPr="00043239">
        <w:rPr>
          <w:rFonts w:ascii="Arial" w:hAnsi="Arial" w:cs="Arial"/>
        </w:rPr>
        <w:t>no Laboratório de Análise de Formações Superficiais da UNIOESTE</w:t>
      </w:r>
      <w:r>
        <w:rPr>
          <w:rFonts w:ascii="Arial" w:hAnsi="Arial" w:cs="Arial"/>
        </w:rPr>
        <w:t>, Campus Francisco Beltrão</w:t>
      </w:r>
      <w:r w:rsidRPr="00043239">
        <w:rPr>
          <w:rFonts w:ascii="Arial" w:hAnsi="Arial" w:cs="Arial"/>
        </w:rPr>
        <w:t xml:space="preserve">. </w:t>
      </w:r>
    </w:p>
    <w:p w:rsidR="00FE0A87" w:rsidRDefault="00FE0A87" w:rsidP="00FE0A87"/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CF7FE0" w:rsidRDefault="0084449C" w:rsidP="0084449C">
      <w:pPr>
        <w:pStyle w:val="SemEspaamen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12593">
        <w:rPr>
          <w:rFonts w:ascii="Arial" w:hAnsi="Arial" w:cs="Arial"/>
          <w:sz w:val="24"/>
          <w:szCs w:val="24"/>
        </w:rPr>
        <w:t xml:space="preserve">A área de estudo corresponde a Bacia Hidrográfica do Rio dos Touros, </w:t>
      </w:r>
      <w:r>
        <w:rPr>
          <w:rFonts w:ascii="Arial" w:hAnsi="Arial" w:cs="Arial"/>
          <w:sz w:val="24"/>
          <w:szCs w:val="24"/>
        </w:rPr>
        <w:t>e</w:t>
      </w:r>
      <w:r w:rsidRPr="00712593">
        <w:rPr>
          <w:rFonts w:ascii="Arial" w:hAnsi="Arial" w:cs="Arial"/>
          <w:sz w:val="24"/>
          <w:szCs w:val="24"/>
        </w:rPr>
        <w:t xml:space="preserve"> pertencente ao sistema fluvial Pelotas, no Planalto das Araucárias. A B</w:t>
      </w:r>
      <w:r>
        <w:rPr>
          <w:rFonts w:ascii="Arial" w:hAnsi="Arial" w:cs="Arial"/>
          <w:sz w:val="24"/>
          <w:szCs w:val="24"/>
        </w:rPr>
        <w:t>acia do</w:t>
      </w:r>
      <w:r w:rsidRPr="00712593">
        <w:rPr>
          <w:rFonts w:ascii="Arial" w:hAnsi="Arial" w:cs="Arial"/>
          <w:sz w:val="24"/>
          <w:szCs w:val="24"/>
        </w:rPr>
        <w:t xml:space="preserve"> rio dos Touros está alocada sob as rochas do grupo São Bento, no domínio das rochas ácidas (Fácies Caxias e Fácies Paranapanema) pertencentes à Formação Serra Geral, e</w:t>
      </w:r>
      <w:r w:rsidRPr="00712593">
        <w:rPr>
          <w:rFonts w:ascii="Arial" w:hAnsi="Arial" w:cs="Arial"/>
          <w:noProof/>
          <w:sz w:val="24"/>
          <w:szCs w:val="24"/>
          <w:lang w:eastAsia="pt-BR"/>
        </w:rPr>
        <w:t>struturalmente a área é influenciada por falhas e fraturas. O</w:t>
      </w:r>
      <w:r w:rsidRPr="00712593">
        <w:rPr>
          <w:rFonts w:ascii="Arial" w:hAnsi="Arial" w:cs="Arial"/>
          <w:sz w:val="24"/>
          <w:szCs w:val="24"/>
        </w:rPr>
        <w:t xml:space="preserve"> relevo é suavemente ondulado e segmentado por vales e</w:t>
      </w:r>
      <w:r w:rsidRPr="00712593">
        <w:rPr>
          <w:rFonts w:ascii="Arial" w:hAnsi="Arial" w:cs="Arial"/>
          <w:noProof/>
          <w:sz w:val="24"/>
          <w:szCs w:val="24"/>
          <w:lang w:eastAsia="pt-BR"/>
        </w:rPr>
        <w:t xml:space="preserve"> apresenta clima temperado com temperaturas médias de 14ºC.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Nesse local, membros do grupo de pesquisa vem caracterizando registros estratigráficos que colmaram canal de drenagem de baixa ordem (2ª ordem hierárquica). Até o momento foram </w:t>
      </w:r>
      <w:r w:rsidR="00CF7FE0">
        <w:rPr>
          <w:rFonts w:ascii="Arial" w:hAnsi="Arial" w:cs="Arial"/>
          <w:sz w:val="24"/>
          <w:szCs w:val="24"/>
        </w:rPr>
        <w:t>reconhec</w:t>
      </w:r>
      <w:r>
        <w:rPr>
          <w:rFonts w:ascii="Arial" w:hAnsi="Arial" w:cs="Arial"/>
          <w:sz w:val="24"/>
          <w:szCs w:val="24"/>
        </w:rPr>
        <w:t>idas</w:t>
      </w:r>
      <w:r w:rsidR="00CF7FE0">
        <w:rPr>
          <w:rFonts w:ascii="Arial" w:hAnsi="Arial" w:cs="Arial"/>
          <w:sz w:val="24"/>
          <w:szCs w:val="24"/>
        </w:rPr>
        <w:t xml:space="preserve"> vinte e sete unidades pedoestratigráficas (</w:t>
      </w:r>
      <w:r w:rsidR="00CF7FE0" w:rsidRPr="00091208">
        <w:rPr>
          <w:rFonts w:ascii="Arial" w:hAnsi="Arial" w:cs="Arial"/>
          <w:color w:val="000000"/>
          <w:sz w:val="24"/>
          <w:szCs w:val="24"/>
          <w:lang w:eastAsia="pt-BR"/>
        </w:rPr>
        <w:t>Ap, AB e Bt1, Bt2b, 3Bt3b, 4Cb, 5Cb, 6Cb, 7Cb, 8Cb, 9Cb, 10Cb, 11Cb, 12Cb, 13Cb, 14Cb, 15Cb, 16Cb, 17Cb, 18Cb, 19Cb, 20Cb, 21Cg1b, 22Cg2b, 23Cg3b, 24Cg4b, 25Cg5b, 26Cg6b e 27RCg7</w:t>
      </w:r>
      <w:r w:rsidR="009C5A34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 w:rsidR="00CF7FE0" w:rsidRPr="00091208">
        <w:rPr>
          <w:rFonts w:ascii="Arial" w:hAnsi="Arial" w:cs="Arial"/>
          <w:color w:val="000000"/>
          <w:sz w:val="24"/>
          <w:szCs w:val="24"/>
          <w:lang w:eastAsia="pt-BR"/>
        </w:rPr>
        <w:t>. A granulometria dessas unidades mostrou correspondência com as variações de concentração de clastos reconhecidas em campo, permitindo aferir os limites entre as unidades.</w:t>
      </w:r>
    </w:p>
    <w:p w:rsidR="00CF7FE0" w:rsidRDefault="00CF7FE0" w:rsidP="00CF7FE0">
      <w:pPr>
        <w:pStyle w:val="SemEspaamen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F7FE0" w:rsidRDefault="00CF7FE0" w:rsidP="00CF7FE0">
      <w:pPr>
        <w:pStyle w:val="SemEspaamen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F7FE0" w:rsidRPr="00CF7FE0" w:rsidRDefault="00151150" w:rsidP="0084449C">
      <w:pPr>
        <w:pStyle w:val="SemEspaamento"/>
        <w:jc w:val="center"/>
        <w:rPr>
          <w:rFonts w:ascii="Arial" w:eastAsia="Calibri" w:hAnsi="Arial" w:cs="Arial"/>
          <w:noProof/>
          <w:color w:val="FF0000"/>
          <w:lang w:eastAsia="pt-BR"/>
        </w:rPr>
      </w:pPr>
      <w:r>
        <w:rPr>
          <w:rFonts w:ascii="Arial" w:eastAsia="Calibri" w:hAnsi="Arial" w:cs="Arial"/>
          <w:noProof/>
          <w:color w:val="FF0000"/>
          <w:lang w:eastAsia="pt-BR"/>
        </w:rPr>
        <w:lastRenderedPageBreak/>
        <w:drawing>
          <wp:inline distT="0" distB="0" distL="0" distR="0">
            <wp:extent cx="5619750" cy="3057525"/>
            <wp:effectExtent l="0" t="0" r="0" b="9525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E0" w:rsidRPr="00CF7FE0" w:rsidRDefault="00CF7FE0" w:rsidP="00CF7FE0">
      <w:pPr>
        <w:pStyle w:val="SemEspaamento"/>
        <w:jc w:val="both"/>
        <w:rPr>
          <w:rFonts w:ascii="Arial" w:eastAsia="Calibri" w:hAnsi="Arial" w:cs="Arial"/>
          <w:noProof/>
          <w:color w:val="FF0000"/>
          <w:lang w:eastAsia="pt-BR"/>
        </w:rPr>
      </w:pPr>
    </w:p>
    <w:p w:rsidR="00CF7FE0" w:rsidRPr="00CF7FE0" w:rsidRDefault="00CF7FE0" w:rsidP="00CF7FE0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CF7FE0">
        <w:rPr>
          <w:rFonts w:ascii="Arial" w:hAnsi="Arial" w:cs="Arial"/>
          <w:b/>
          <w:sz w:val="20"/>
          <w:szCs w:val="20"/>
          <w:shd w:val="clear" w:color="auto" w:fill="FEFEFE"/>
        </w:rPr>
        <w:t>Figura 1-</w:t>
      </w:r>
      <w:r w:rsidRPr="00CF7FE0">
        <w:rPr>
          <w:rFonts w:ascii="Arial" w:hAnsi="Arial" w:cs="Arial"/>
          <w:sz w:val="20"/>
          <w:szCs w:val="20"/>
          <w:shd w:val="clear" w:color="auto" w:fill="FEFEFE"/>
        </w:rPr>
        <w:t xml:space="preserve"> Seção estratigráfica SJA1. Foto da seção estratigráfica (A). Arquitetura da seção estratigráfica com a definição dos horizontes. 1: Alterita do Riolito; 2: Pedogênese moderna; 3: Sequência coluvial; 4: Sequência hidromórfica; 5: Crosta de Ferro; 6: Cascalhos; 7: gramíneas.</w:t>
      </w:r>
      <w:r w:rsidRPr="00CF7FE0">
        <w:rPr>
          <w:rFonts w:ascii="Arial" w:eastAsia="Calibri" w:hAnsi="Arial" w:cs="Arial"/>
          <w:sz w:val="20"/>
          <w:szCs w:val="20"/>
        </w:rPr>
        <w:t xml:space="preserve"> Organizadora: Pereira,J.2016.</w:t>
      </w:r>
    </w:p>
    <w:p w:rsidR="00CF7FE0" w:rsidRPr="000E6B73" w:rsidRDefault="00CF7FE0" w:rsidP="00CF7FE0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0E6B73">
        <w:rPr>
          <w:rFonts w:ascii="Arial" w:hAnsi="Arial" w:cs="Arial"/>
          <w:sz w:val="24"/>
          <w:szCs w:val="24"/>
        </w:rPr>
        <w:t>A determinação dos limites entre as unidades pedoestratigráficas, bem como a classe textual, se basearam na análise granulométrica realizada a coletada conforme diferenças de materiais, em uma janela de observação (Janela 1). Foram estabelecidos os percentuais das frações granulométricas seixo, grânulo, areia, silte e argila.</w:t>
      </w:r>
    </w:p>
    <w:p w:rsidR="00712593" w:rsidRPr="00712593" w:rsidRDefault="00712593" w:rsidP="00712593">
      <w:pPr>
        <w:pStyle w:val="SemEspaamento"/>
        <w:ind w:firstLine="708"/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712593">
        <w:rPr>
          <w:rFonts w:ascii="Arial" w:hAnsi="Arial" w:cs="Arial"/>
          <w:sz w:val="24"/>
          <w:szCs w:val="24"/>
          <w:shd w:val="clear" w:color="auto" w:fill="FEFEFE"/>
        </w:rPr>
        <w:t>O maior teor da fração Argila seguida da fração silte e areia, a fração granulo e Seixo está pressentes em algumas amostras, porém sua concentração é baixa.</w:t>
      </w:r>
    </w:p>
    <w:p w:rsidR="00712593" w:rsidRPr="00712593" w:rsidRDefault="00712593" w:rsidP="00712593">
      <w:pPr>
        <w:pStyle w:val="SemEspaamento"/>
        <w:ind w:firstLine="708"/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712593">
        <w:rPr>
          <w:rFonts w:ascii="Arial" w:hAnsi="Arial" w:cs="Arial"/>
          <w:sz w:val="24"/>
          <w:szCs w:val="24"/>
          <w:shd w:val="clear" w:color="auto" w:fill="FEFEFE"/>
        </w:rPr>
        <w:t xml:space="preserve"> A argila se apresenta baixa na base da janela chegando a 3% em profundidade igual a 450 cm, devido ao foto deste ser um local ser hidromórfico, na profundidade de 430 observa-se um aumento significativo da fração argila igual a 58%, este local se concentra a unidade coluvial, até a profundidade de 385 ela se manteve estável, nas profundidades entre 385 a 330 observou-se uma queda da fração podendo ser constatado um a aumento da fração grossa (seixo e granulo), da profundidade igual a 330 até o todo se observou um aumento da fração variando sua porcentagem entre 60 a 70 %. </w:t>
      </w:r>
    </w:p>
    <w:p w:rsidR="00712593" w:rsidRPr="00712593" w:rsidRDefault="00712593" w:rsidP="00712593">
      <w:pPr>
        <w:pStyle w:val="SemEspaamento"/>
        <w:ind w:firstLine="708"/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712593">
        <w:rPr>
          <w:rFonts w:ascii="Arial" w:hAnsi="Arial" w:cs="Arial"/>
          <w:sz w:val="24"/>
          <w:szCs w:val="24"/>
          <w:shd w:val="clear" w:color="auto" w:fill="FEFEFE"/>
        </w:rPr>
        <w:t xml:space="preserve">A fração silte segue inversamente os teores da fração argila, na base da seção o teor de silte se apresenta alto chegando a 50% na profundidade de 450 cm, no decorrer das profundidades entre 425 a 330 o teor varia de 20% a 40%, e a partir da profundidade igual a 325 até o topo o percentual da fração varia de 10 a 25%. A </w:t>
      </w:r>
      <w:r w:rsidRPr="00712593">
        <w:rPr>
          <w:rFonts w:ascii="Arial" w:hAnsi="Arial" w:cs="Arial"/>
          <w:sz w:val="24"/>
          <w:szCs w:val="24"/>
          <w:shd w:val="clear" w:color="auto" w:fill="FEFEFE"/>
        </w:rPr>
        <w:lastRenderedPageBreak/>
        <w:t xml:space="preserve">fração areia se apresenta parecido com os percentuais da fração silte, porém um pouco menor, na base seu teor é igual ao do silte, e a partir da amostra 425 até o topo sua concentração se mantem entre 10 a 22%, apresentando alguns picos em determinadas amostras. </w:t>
      </w:r>
    </w:p>
    <w:p w:rsidR="00712593" w:rsidRDefault="00712593" w:rsidP="00712593">
      <w:pPr>
        <w:pStyle w:val="SemEspaamento"/>
        <w:ind w:firstLine="708"/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712593">
        <w:rPr>
          <w:rFonts w:ascii="Arial" w:hAnsi="Arial" w:cs="Arial"/>
          <w:sz w:val="24"/>
          <w:szCs w:val="24"/>
          <w:shd w:val="clear" w:color="auto" w:fill="FEFEFE"/>
        </w:rPr>
        <w:t>O grânulo e os seixos se apresentam com um percentual baixou, porém estão presentes na maioria das amostras, o granulo é o que se encontra em maior porcentagem em determinadas profundidade, como por exemplo, na profundidade 460 e 220 cm.</w:t>
      </w:r>
    </w:p>
    <w:p w:rsidR="005B5DCF" w:rsidRDefault="00151150" w:rsidP="005B5DCF">
      <w:pPr>
        <w:pStyle w:val="SemEspaamento"/>
        <w:jc w:val="center"/>
        <w:rPr>
          <w:rFonts w:ascii="Arial" w:eastAsia="Calibri" w:hAnsi="Arial" w:cs="Arial"/>
          <w:noProof/>
          <w:color w:val="FF0000"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2571750" cy="5114925"/>
            <wp:effectExtent l="0" t="0" r="0" b="9525"/>
            <wp:docPr id="2" name="Imagem 2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CF" w:rsidRDefault="005B5DCF" w:rsidP="005B5DCF">
      <w:pPr>
        <w:pStyle w:val="SemEspaamento"/>
        <w:jc w:val="center"/>
        <w:rPr>
          <w:rFonts w:ascii="Arial" w:eastAsia="Calibri" w:hAnsi="Arial" w:cs="Arial"/>
          <w:noProof/>
          <w:color w:val="FF0000"/>
          <w:sz w:val="24"/>
          <w:szCs w:val="24"/>
          <w:lang w:eastAsia="pt-BR"/>
        </w:rPr>
      </w:pPr>
    </w:p>
    <w:p w:rsidR="005B5DCF" w:rsidRPr="00712593" w:rsidRDefault="005B5DCF" w:rsidP="005B5DCF">
      <w:pPr>
        <w:pStyle w:val="PargrafodaLista1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2593">
        <w:rPr>
          <w:rFonts w:ascii="Arial" w:hAnsi="Arial" w:cs="Arial"/>
          <w:b/>
          <w:sz w:val="20"/>
          <w:szCs w:val="20"/>
        </w:rPr>
        <w:t>Figura 2-</w:t>
      </w:r>
      <w:r w:rsidRPr="00712593">
        <w:rPr>
          <w:rFonts w:ascii="Arial" w:hAnsi="Arial" w:cs="Arial"/>
          <w:sz w:val="20"/>
          <w:szCs w:val="20"/>
        </w:rPr>
        <w:t xml:space="preserve"> Percentuais granulométricos dos matérias da seção pedoestratigráfica segundo a profundidade</w:t>
      </w:r>
      <w:r w:rsidRPr="00712593">
        <w:rPr>
          <w:rFonts w:ascii="Arial" w:hAnsi="Arial" w:cs="Arial"/>
          <w:sz w:val="24"/>
          <w:szCs w:val="24"/>
        </w:rPr>
        <w:t xml:space="preserve">. </w:t>
      </w:r>
    </w:p>
    <w:p w:rsidR="00712593" w:rsidRDefault="00712593" w:rsidP="00712593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712593" w:rsidRPr="00712593" w:rsidRDefault="00712593" w:rsidP="00712593">
      <w:pPr>
        <w:pStyle w:val="SemEspaamento"/>
        <w:jc w:val="both"/>
        <w:rPr>
          <w:rFonts w:ascii="Arial" w:hAnsi="Arial" w:cs="Arial"/>
          <w:bCs/>
          <w:color w:val="FF0066"/>
          <w:sz w:val="24"/>
          <w:szCs w:val="24"/>
        </w:rPr>
      </w:pPr>
      <w:r>
        <w:rPr>
          <w:rFonts w:ascii="Arial" w:hAnsi="Arial" w:cs="Arial"/>
          <w:b/>
        </w:rPr>
        <w:lastRenderedPageBreak/>
        <w:t>Conclusões</w:t>
      </w:r>
    </w:p>
    <w:p w:rsidR="001F4A4A" w:rsidRDefault="001F4A4A" w:rsidP="001F4A4A">
      <w:pPr>
        <w:pStyle w:val="SemEspaamento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9C5A34" w:rsidRDefault="009C5A34" w:rsidP="001F4A4A">
      <w:pPr>
        <w:pStyle w:val="SemEspaamen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O levantamento dos materiais em campo revelou vinte e sete</w:t>
      </w:r>
      <w:r w:rsidRPr="00121A7C">
        <w:rPr>
          <w:rFonts w:ascii="Arial" w:hAnsi="Arial" w:cs="Arial"/>
          <w:sz w:val="24"/>
          <w:szCs w:val="24"/>
        </w:rPr>
        <w:t xml:space="preserve"> unidades </w:t>
      </w:r>
      <w:r>
        <w:rPr>
          <w:rFonts w:ascii="Arial" w:hAnsi="Arial" w:cs="Arial"/>
          <w:sz w:val="24"/>
          <w:szCs w:val="24"/>
        </w:rPr>
        <w:t>pedo</w:t>
      </w:r>
      <w:r w:rsidRPr="00121A7C">
        <w:rPr>
          <w:rFonts w:ascii="Arial" w:hAnsi="Arial" w:cs="Arial"/>
          <w:sz w:val="24"/>
          <w:szCs w:val="24"/>
        </w:rPr>
        <w:t>estratigráficas</w:t>
      </w:r>
      <w:r>
        <w:rPr>
          <w:rFonts w:ascii="Arial" w:hAnsi="Arial" w:cs="Arial"/>
          <w:sz w:val="24"/>
          <w:szCs w:val="24"/>
        </w:rPr>
        <w:t xml:space="preserve"> caracterizadas como sequencia coluvial superior que mostra ação da pedogênese moderna</w:t>
      </w:r>
      <w:r>
        <w:rPr>
          <w:rFonts w:ascii="Arial" w:hAnsi="Arial" w:cs="Arial"/>
          <w:sz w:val="24"/>
          <w:szCs w:val="24"/>
          <w:shd w:val="clear" w:color="auto" w:fill="FEFEFE"/>
        </w:rPr>
        <w:t xml:space="preserve"> (horizontes </w:t>
      </w:r>
      <w:r w:rsidRPr="00091208">
        <w:rPr>
          <w:rFonts w:ascii="Arial" w:hAnsi="Arial" w:cs="Arial"/>
          <w:color w:val="000000"/>
          <w:sz w:val="24"/>
          <w:szCs w:val="24"/>
          <w:lang w:eastAsia="pt-BR"/>
        </w:rPr>
        <w:t>Ap, AB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Pr="00091208">
        <w:rPr>
          <w:rFonts w:ascii="Arial" w:hAnsi="Arial" w:cs="Arial"/>
          <w:color w:val="000000"/>
          <w:sz w:val="24"/>
          <w:szCs w:val="24"/>
          <w:lang w:eastAsia="pt-BR"/>
        </w:rPr>
        <w:t xml:space="preserve"> Bt1,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Bt2b e</w:t>
      </w:r>
      <w:r w:rsidRPr="00091208">
        <w:rPr>
          <w:rFonts w:ascii="Arial" w:hAnsi="Arial" w:cs="Arial"/>
          <w:color w:val="000000"/>
          <w:sz w:val="24"/>
          <w:szCs w:val="24"/>
          <w:lang w:eastAsia="pt-BR"/>
        </w:rPr>
        <w:t xml:space="preserve"> 3Bt3b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 w:rsidRPr="00091208"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sequencia coluvial intermediária (</w:t>
      </w:r>
      <w:r w:rsidRPr="00091208">
        <w:rPr>
          <w:rFonts w:ascii="Arial" w:hAnsi="Arial" w:cs="Arial"/>
          <w:color w:val="000000"/>
          <w:sz w:val="24"/>
          <w:szCs w:val="24"/>
          <w:lang w:eastAsia="pt-BR"/>
        </w:rPr>
        <w:t>4Cb, 5Cb, 6Cb, 7Cb, 8Cb, 9Cb, 10Cb, 11Cb, 12Cb, 13Cb, 14Cb, 15Cb, 16Cb, 17Cb, 18Cb, 19Cb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e</w:t>
      </w:r>
      <w:r w:rsidRPr="00091208">
        <w:rPr>
          <w:rFonts w:ascii="Arial" w:hAnsi="Arial" w:cs="Arial"/>
          <w:color w:val="000000"/>
          <w:sz w:val="24"/>
          <w:szCs w:val="24"/>
          <w:lang w:eastAsia="pt-BR"/>
        </w:rPr>
        <w:t xml:space="preserve"> 20Cb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) e sequencia inferior hidromórfica (</w:t>
      </w:r>
      <w:r w:rsidRPr="00091208">
        <w:rPr>
          <w:rFonts w:ascii="Arial" w:hAnsi="Arial" w:cs="Arial"/>
          <w:color w:val="000000"/>
          <w:sz w:val="24"/>
          <w:szCs w:val="24"/>
          <w:lang w:eastAsia="pt-BR"/>
        </w:rPr>
        <w:t>21Cg1b, 22Cg2b, 23Cg3b, 24Cg4b, 25Cg5b, 26Cg6b e 27RCg7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). </w:t>
      </w:r>
    </w:p>
    <w:p w:rsidR="009C5A34" w:rsidRDefault="001F4A4A" w:rsidP="009C5A34">
      <w:pPr>
        <w:pStyle w:val="SemEspaamento"/>
        <w:ind w:firstLine="708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9C5A34">
        <w:rPr>
          <w:rFonts w:ascii="Arial" w:eastAsia="Calibri" w:hAnsi="Arial" w:cs="Arial"/>
          <w:sz w:val="24"/>
          <w:szCs w:val="24"/>
        </w:rPr>
        <w:t xml:space="preserve"> determinação da granulometria dessas unidades mostrou materiais argilo-silte-arenosos, com variações sutis na sua distribuição entre as unidades. </w:t>
      </w:r>
      <w:r w:rsidR="009C5A34" w:rsidRPr="00091208">
        <w:rPr>
          <w:rFonts w:ascii="Arial" w:hAnsi="Arial" w:cs="Arial"/>
          <w:color w:val="000000"/>
          <w:sz w:val="24"/>
          <w:szCs w:val="24"/>
          <w:lang w:eastAsia="pt-BR"/>
        </w:rPr>
        <w:t xml:space="preserve">A granulometria dessas unidades </w:t>
      </w:r>
      <w:r w:rsidR="009C5A34">
        <w:rPr>
          <w:rFonts w:ascii="Arial" w:hAnsi="Arial" w:cs="Arial"/>
          <w:color w:val="000000"/>
          <w:sz w:val="24"/>
          <w:szCs w:val="24"/>
          <w:lang w:eastAsia="pt-BR"/>
        </w:rPr>
        <w:t>apresenta</w:t>
      </w:r>
      <w:r w:rsidR="009C5A34" w:rsidRPr="00091208">
        <w:rPr>
          <w:rFonts w:ascii="Arial" w:hAnsi="Arial" w:cs="Arial"/>
          <w:color w:val="000000"/>
          <w:sz w:val="24"/>
          <w:szCs w:val="24"/>
          <w:lang w:eastAsia="pt-BR"/>
        </w:rPr>
        <w:t xml:space="preserve"> correspondência com as variações de concentração de clastos </w:t>
      </w:r>
      <w:r w:rsidR="009C5A34">
        <w:rPr>
          <w:rFonts w:ascii="Arial" w:hAnsi="Arial" w:cs="Arial"/>
          <w:color w:val="000000"/>
          <w:sz w:val="24"/>
          <w:szCs w:val="24"/>
          <w:lang w:eastAsia="pt-BR"/>
        </w:rPr>
        <w:t xml:space="preserve">grossos e finos </w:t>
      </w:r>
      <w:r w:rsidR="009C5A34" w:rsidRPr="00091208">
        <w:rPr>
          <w:rFonts w:ascii="Arial" w:hAnsi="Arial" w:cs="Arial"/>
          <w:color w:val="000000"/>
          <w:sz w:val="24"/>
          <w:szCs w:val="24"/>
          <w:lang w:eastAsia="pt-BR"/>
        </w:rPr>
        <w:t>reconhecidas em campo, permitindo aferir os limites entre as unidades.</w:t>
      </w:r>
      <w:r w:rsidR="009C5A34">
        <w:rPr>
          <w:rFonts w:ascii="Arial" w:hAnsi="Arial" w:cs="Arial"/>
          <w:color w:val="000000"/>
          <w:sz w:val="24"/>
          <w:szCs w:val="24"/>
          <w:lang w:eastAsia="pt-BR"/>
        </w:rPr>
        <w:t xml:space="preserve"> Diferente de outros trabalhos realizados por membros do grupo de pesquisa, não foi possível identificar outras unidades pedoestratigráficas com o auxílio dessa técnica, além daquelas descritas previamente em campo. </w:t>
      </w:r>
    </w:p>
    <w:p w:rsidR="009C5A34" w:rsidRDefault="009C5A34" w:rsidP="00712593">
      <w:pPr>
        <w:rPr>
          <w:rFonts w:ascii="Arial" w:hAnsi="Arial" w:cs="Arial"/>
        </w:rPr>
      </w:pPr>
    </w:p>
    <w:p w:rsidR="00712593" w:rsidRDefault="00712593" w:rsidP="007125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Agradecimentos</w:t>
      </w:r>
    </w:p>
    <w:p w:rsidR="001F4A4A" w:rsidRDefault="001F4A4A" w:rsidP="00712593">
      <w:pPr>
        <w:rPr>
          <w:rFonts w:ascii="Arial" w:hAnsi="Arial" w:cs="Arial"/>
          <w:b/>
        </w:rPr>
      </w:pPr>
    </w:p>
    <w:p w:rsidR="00712593" w:rsidRDefault="00712593" w:rsidP="00712593">
      <w:pPr>
        <w:jc w:val="both"/>
        <w:rPr>
          <w:rFonts w:ascii="Arial" w:hAnsi="Arial" w:cs="Arial"/>
        </w:rPr>
      </w:pPr>
      <w:r w:rsidRPr="00964F56">
        <w:rPr>
          <w:rFonts w:ascii="Arial" w:hAnsi="Arial" w:cs="Arial"/>
          <w:bCs/>
        </w:rPr>
        <w:t>Agradeço ao CNPq pela bolsa de iniciação científica</w:t>
      </w:r>
      <w:r w:rsidR="005B5DCF">
        <w:rPr>
          <w:rFonts w:ascii="Arial" w:hAnsi="Arial" w:cs="Arial"/>
          <w:bCs/>
        </w:rPr>
        <w:t xml:space="preserve"> (Proc. </w:t>
      </w:r>
      <w:r w:rsidR="002C6B96">
        <w:rPr>
          <w:rFonts w:ascii="Arial" w:hAnsi="Arial" w:cs="Arial"/>
          <w:bCs/>
        </w:rPr>
        <w:t>441647/2014-6)</w:t>
      </w:r>
      <w:r>
        <w:rPr>
          <w:rFonts w:ascii="Arial" w:hAnsi="Arial" w:cs="Arial"/>
          <w:bCs/>
        </w:rPr>
        <w:t>.</w:t>
      </w:r>
    </w:p>
    <w:p w:rsidR="00712593" w:rsidRDefault="00712593" w:rsidP="00712593">
      <w:pPr>
        <w:jc w:val="both"/>
        <w:rPr>
          <w:rFonts w:ascii="Arial" w:hAnsi="Arial" w:cs="Arial"/>
        </w:rPr>
      </w:pPr>
    </w:p>
    <w:p w:rsidR="00712593" w:rsidRDefault="00712593" w:rsidP="00712593">
      <w:pPr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712593" w:rsidRPr="00712593" w:rsidRDefault="00712593" w:rsidP="004C6617">
      <w:pPr>
        <w:rPr>
          <w:lang w:eastAsia="en-US"/>
        </w:rPr>
      </w:pPr>
    </w:p>
    <w:p w:rsidR="004C6617" w:rsidRPr="00F27A87" w:rsidRDefault="004C6617" w:rsidP="007611CB">
      <w:pPr>
        <w:jc w:val="both"/>
        <w:rPr>
          <w:rFonts w:ascii="Arial" w:hAnsi="Arial" w:cs="Arial"/>
        </w:rPr>
      </w:pPr>
      <w:r w:rsidRPr="00F27A87">
        <w:rPr>
          <w:rFonts w:ascii="Arial" w:hAnsi="Arial" w:cs="Arial"/>
        </w:rPr>
        <w:t>PAISANI,J.C;</w:t>
      </w:r>
      <w:r>
        <w:rPr>
          <w:rFonts w:ascii="Arial" w:hAnsi="Arial" w:cs="Arial"/>
        </w:rPr>
        <w:t xml:space="preserve"> </w:t>
      </w:r>
      <w:r w:rsidRPr="00F27A87">
        <w:rPr>
          <w:rFonts w:ascii="Arial" w:hAnsi="Arial" w:cs="Arial"/>
        </w:rPr>
        <w:t>Descontinuidades Hidrológicas, Escoamento Superficial e Desenvolvimento de Incisões Erosivas em Área de Cabeceira de Drenagem: Estudo de Caso na Colônia Quero-Quero, Palmeira (PR). Departamento Geociência. UFSC, 1998.</w:t>
      </w:r>
    </w:p>
    <w:p w:rsidR="00712593" w:rsidRPr="00712593" w:rsidRDefault="00712593" w:rsidP="007611CB">
      <w:pPr>
        <w:rPr>
          <w:lang w:eastAsia="en-US"/>
        </w:rPr>
      </w:pPr>
    </w:p>
    <w:p w:rsidR="00712593" w:rsidRDefault="004C6617" w:rsidP="007611CB">
      <w:pPr>
        <w:jc w:val="both"/>
        <w:rPr>
          <w:rFonts w:ascii="Arial" w:hAnsi="Arial" w:cs="Arial"/>
          <w:lang w:eastAsia="en-US"/>
        </w:rPr>
      </w:pPr>
      <w:r w:rsidRPr="00151150">
        <w:rPr>
          <w:rFonts w:ascii="Arial" w:hAnsi="Arial" w:cs="Arial"/>
          <w:lang w:val="en-US" w:eastAsia="en-US"/>
        </w:rPr>
        <w:t xml:space="preserve">PAISANI, J.C; PONTELLI, M.E; OSTERRIETH, M.L; PAISANI, S.D.L; FACHIN, A; GUERRA, S; OLIVEIRA, L. Paleosols in Low-order streams and valley in the  Araucaria Plateau-Record of continental environmental conditions in Southern Brasil at the end of MIS3. </w:t>
      </w:r>
      <w:r w:rsidRPr="004C6617">
        <w:rPr>
          <w:rFonts w:ascii="Arial" w:hAnsi="Arial" w:cs="Arial"/>
          <w:lang w:eastAsia="en-US"/>
        </w:rPr>
        <w:t>Journal of South American Earth Sciences, p.57-70, 2014.</w:t>
      </w:r>
    </w:p>
    <w:p w:rsidR="00395A7B" w:rsidRDefault="00395A7B" w:rsidP="007611CB">
      <w:pPr>
        <w:jc w:val="both"/>
        <w:rPr>
          <w:rFonts w:ascii="Arial" w:hAnsi="Arial" w:cs="Arial"/>
          <w:lang w:eastAsia="en-US"/>
        </w:rPr>
      </w:pPr>
    </w:p>
    <w:p w:rsidR="00395A7B" w:rsidRPr="004C6617" w:rsidRDefault="00395A7B" w:rsidP="007611CB">
      <w:pPr>
        <w:jc w:val="both"/>
        <w:rPr>
          <w:rFonts w:ascii="Arial" w:hAnsi="Arial" w:cs="Arial"/>
          <w:lang w:eastAsia="en-US"/>
        </w:rPr>
      </w:pPr>
      <w:r w:rsidRPr="00F27A87">
        <w:rPr>
          <w:rFonts w:ascii="Arial" w:hAnsi="Arial" w:cs="Arial"/>
        </w:rPr>
        <w:t>PAISANI,</w:t>
      </w:r>
      <w:r>
        <w:rPr>
          <w:rFonts w:ascii="Arial" w:hAnsi="Arial" w:cs="Arial"/>
        </w:rPr>
        <w:t xml:space="preserve"> </w:t>
      </w:r>
      <w:r w:rsidRPr="00F27A87">
        <w:rPr>
          <w:rFonts w:ascii="Arial" w:hAnsi="Arial" w:cs="Arial"/>
        </w:rPr>
        <w:t>J.C</w:t>
      </w:r>
      <w:r>
        <w:rPr>
          <w:rFonts w:ascii="Arial" w:hAnsi="Arial" w:cs="Arial"/>
        </w:rPr>
        <w:t xml:space="preserve">; </w:t>
      </w:r>
      <w:r w:rsidRPr="00395A7B">
        <w:rPr>
          <w:rFonts w:ascii="Arial" w:hAnsi="Arial" w:cs="Arial"/>
        </w:rPr>
        <w:t>FACHIN</w:t>
      </w:r>
      <w:r>
        <w:rPr>
          <w:rFonts w:ascii="Arial" w:hAnsi="Arial" w:cs="Arial"/>
        </w:rPr>
        <w:t>,</w:t>
      </w:r>
      <w:r w:rsidRPr="00395A7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;</w:t>
      </w:r>
      <w:r w:rsidRPr="00395A7B">
        <w:rPr>
          <w:rFonts w:ascii="Arial" w:hAnsi="Arial" w:cs="Arial"/>
          <w:lang w:eastAsia="en-US"/>
        </w:rPr>
        <w:t xml:space="preserve"> </w:t>
      </w:r>
      <w:r w:rsidRPr="004C6617">
        <w:rPr>
          <w:rFonts w:ascii="Arial" w:hAnsi="Arial" w:cs="Arial"/>
          <w:lang w:eastAsia="en-US"/>
        </w:rPr>
        <w:t>PONTELLI, M.E;</w:t>
      </w:r>
      <w:r w:rsidRPr="00395A7B">
        <w:rPr>
          <w:rFonts w:ascii="Arial" w:hAnsi="Arial" w:cs="Arial"/>
          <w:lang w:eastAsia="en-US"/>
        </w:rPr>
        <w:t xml:space="preserve"> </w:t>
      </w:r>
      <w:r w:rsidRPr="004C6617">
        <w:rPr>
          <w:rFonts w:ascii="Arial" w:hAnsi="Arial" w:cs="Arial"/>
          <w:lang w:eastAsia="en-US"/>
        </w:rPr>
        <w:t>OSTERRIETH, M.L</w:t>
      </w:r>
      <w:r>
        <w:rPr>
          <w:rFonts w:ascii="Arial" w:hAnsi="Arial" w:cs="Arial"/>
          <w:lang w:eastAsia="en-US"/>
        </w:rPr>
        <w:t xml:space="preserve">; </w:t>
      </w:r>
      <w:r w:rsidRPr="004C6617">
        <w:rPr>
          <w:rFonts w:ascii="Arial" w:hAnsi="Arial" w:cs="Arial"/>
          <w:lang w:eastAsia="en-US"/>
        </w:rPr>
        <w:t>PAISANI, S.D.L;</w:t>
      </w:r>
      <w:r w:rsidR="007611CB">
        <w:rPr>
          <w:rFonts w:ascii="Arial" w:hAnsi="Arial" w:cs="Arial"/>
          <w:lang w:eastAsia="en-US"/>
        </w:rPr>
        <w:t xml:space="preserve"> </w:t>
      </w:r>
      <w:r w:rsidR="007611CB">
        <w:rPr>
          <w:rFonts w:ascii="Arial" w:hAnsi="Arial" w:cs="Arial"/>
        </w:rPr>
        <w:t xml:space="preserve">FUJITA, R. H, </w:t>
      </w:r>
      <w:r w:rsidR="007611CB">
        <w:rPr>
          <w:rFonts w:ascii="Arial" w:hAnsi="Arial" w:cs="Arial"/>
          <w:lang w:eastAsia="en-US"/>
        </w:rPr>
        <w:t>E</w:t>
      </w:r>
      <w:r w:rsidR="007611CB" w:rsidRPr="00395A7B">
        <w:rPr>
          <w:rFonts w:ascii="Arial" w:hAnsi="Arial" w:cs="Arial"/>
          <w:lang w:eastAsia="en-US"/>
        </w:rPr>
        <w:t>volução de pal</w:t>
      </w:r>
      <w:r w:rsidR="007611CB">
        <w:rPr>
          <w:rFonts w:ascii="Arial" w:hAnsi="Arial" w:cs="Arial"/>
          <w:lang w:eastAsia="en-US"/>
        </w:rPr>
        <w:t>eocabeceira de drenagem do rio Chopinzinho (sul do Brasil) durante o Q</w:t>
      </w:r>
      <w:r w:rsidR="007611CB" w:rsidRPr="00395A7B">
        <w:rPr>
          <w:rFonts w:ascii="Arial" w:hAnsi="Arial" w:cs="Arial"/>
          <w:lang w:eastAsia="en-US"/>
        </w:rPr>
        <w:t>uaternário superior</w:t>
      </w:r>
      <w:r w:rsidR="007611CB">
        <w:rPr>
          <w:rFonts w:ascii="Arial" w:hAnsi="Arial" w:cs="Arial"/>
          <w:lang w:eastAsia="en-US"/>
        </w:rPr>
        <w:t>.</w:t>
      </w:r>
      <w:r w:rsidR="007611CB" w:rsidRPr="007611CB">
        <w:t xml:space="preserve"> </w:t>
      </w:r>
      <w:r w:rsidR="007611CB" w:rsidRPr="007611CB">
        <w:rPr>
          <w:rFonts w:ascii="Arial" w:hAnsi="Arial" w:cs="Arial"/>
          <w:lang w:eastAsia="en-US"/>
        </w:rPr>
        <w:t>Revista Brasileira de Geomorfologia</w:t>
      </w:r>
      <w:r w:rsidR="007611CB">
        <w:rPr>
          <w:rFonts w:ascii="Arial" w:hAnsi="Arial" w:cs="Arial"/>
          <w:lang w:eastAsia="en-US"/>
        </w:rPr>
        <w:t>,</w:t>
      </w:r>
      <w:r w:rsidR="007611CB" w:rsidRPr="007611CB">
        <w:t xml:space="preserve"> </w:t>
      </w:r>
      <w:r w:rsidR="007611CB">
        <w:rPr>
          <w:rFonts w:ascii="Arial" w:hAnsi="Arial" w:cs="Arial"/>
          <w:lang w:eastAsia="en-US"/>
        </w:rPr>
        <w:t>v. 17, nº1</w:t>
      </w:r>
      <w:r w:rsidR="007611CB" w:rsidRPr="007611CB">
        <w:rPr>
          <w:rFonts w:ascii="Arial" w:hAnsi="Arial" w:cs="Arial"/>
          <w:lang w:eastAsia="en-US"/>
        </w:rPr>
        <w:t xml:space="preserve"> (2016).</w:t>
      </w:r>
    </w:p>
    <w:p w:rsidR="00712593" w:rsidRDefault="00712593" w:rsidP="00712593">
      <w:pPr>
        <w:rPr>
          <w:lang w:eastAsia="en-US"/>
        </w:rPr>
      </w:pPr>
    </w:p>
    <w:p w:rsidR="00395A7B" w:rsidRPr="00712593" w:rsidRDefault="00395A7B" w:rsidP="00395A7B">
      <w:pPr>
        <w:rPr>
          <w:lang w:eastAsia="en-US"/>
        </w:rPr>
      </w:pPr>
    </w:p>
    <w:p w:rsidR="00395A7B" w:rsidRPr="00712593" w:rsidRDefault="00395A7B" w:rsidP="00712593">
      <w:pPr>
        <w:rPr>
          <w:lang w:eastAsia="en-US"/>
        </w:rPr>
      </w:pPr>
    </w:p>
    <w:sectPr w:rsidR="00395A7B" w:rsidRPr="00712593" w:rsidSect="000F18A1">
      <w:headerReference w:type="default" r:id="rId10"/>
      <w:footerReference w:type="default" r:id="rId11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2A" w:rsidRDefault="009D012A" w:rsidP="0024036C">
      <w:r>
        <w:separator/>
      </w:r>
    </w:p>
  </w:endnote>
  <w:endnote w:type="continuationSeparator" w:id="0">
    <w:p w:rsidR="009D012A" w:rsidRDefault="009D012A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151150">
    <w:pPr>
      <w:pStyle w:val="Rodap"/>
    </w:pPr>
    <w:r>
      <w:rPr>
        <w:noProof/>
        <w:lang w:eastAsia="pt-BR"/>
      </w:rPr>
      <w:drawing>
        <wp:inline distT="0" distB="0" distL="0" distR="0">
          <wp:extent cx="5753100" cy="904875"/>
          <wp:effectExtent l="0" t="0" r="0" b="9525"/>
          <wp:docPr id="4" name="Imagem 4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2A" w:rsidRDefault="009D012A" w:rsidP="0024036C">
      <w:r>
        <w:separator/>
      </w:r>
    </w:p>
  </w:footnote>
  <w:footnote w:type="continuationSeparator" w:id="0">
    <w:p w:rsidR="009D012A" w:rsidRDefault="009D012A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151150">
    <w:pPr>
      <w:pStyle w:val="Cabealho"/>
    </w:pPr>
    <w:r>
      <w:rPr>
        <w:noProof/>
        <w:lang w:eastAsia="pt-BR"/>
      </w:rPr>
      <w:drawing>
        <wp:inline distT="0" distB="0" distL="0" distR="0">
          <wp:extent cx="5753100" cy="1343025"/>
          <wp:effectExtent l="0" t="0" r="0" b="9525"/>
          <wp:docPr id="3" name="Imagem 3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242A9"/>
    <w:rsid w:val="00046022"/>
    <w:rsid w:val="00074140"/>
    <w:rsid w:val="00091208"/>
    <w:rsid w:val="0009597E"/>
    <w:rsid w:val="000C64B2"/>
    <w:rsid w:val="000F18A1"/>
    <w:rsid w:val="00151150"/>
    <w:rsid w:val="00184D34"/>
    <w:rsid w:val="00197CD9"/>
    <w:rsid w:val="001D3636"/>
    <w:rsid w:val="001F4A4A"/>
    <w:rsid w:val="00207B29"/>
    <w:rsid w:val="0024036C"/>
    <w:rsid w:val="00265AF5"/>
    <w:rsid w:val="00293639"/>
    <w:rsid w:val="002C6B96"/>
    <w:rsid w:val="002E4FF4"/>
    <w:rsid w:val="002E60D4"/>
    <w:rsid w:val="002F0C58"/>
    <w:rsid w:val="00347C63"/>
    <w:rsid w:val="00360085"/>
    <w:rsid w:val="00395A7B"/>
    <w:rsid w:val="003B33E0"/>
    <w:rsid w:val="00430E38"/>
    <w:rsid w:val="004C6617"/>
    <w:rsid w:val="00582A0E"/>
    <w:rsid w:val="005B5DCF"/>
    <w:rsid w:val="005E41B6"/>
    <w:rsid w:val="005E4EA2"/>
    <w:rsid w:val="005E7019"/>
    <w:rsid w:val="00613523"/>
    <w:rsid w:val="00636A74"/>
    <w:rsid w:val="006E090E"/>
    <w:rsid w:val="00710DFC"/>
    <w:rsid w:val="00712593"/>
    <w:rsid w:val="007611CB"/>
    <w:rsid w:val="00806B3F"/>
    <w:rsid w:val="00812D15"/>
    <w:rsid w:val="0084449C"/>
    <w:rsid w:val="008737C4"/>
    <w:rsid w:val="00943567"/>
    <w:rsid w:val="009C5A34"/>
    <w:rsid w:val="009D012A"/>
    <w:rsid w:val="00A0230A"/>
    <w:rsid w:val="00AC125D"/>
    <w:rsid w:val="00AF3D4B"/>
    <w:rsid w:val="00BC56EA"/>
    <w:rsid w:val="00BC59D8"/>
    <w:rsid w:val="00CF7FE0"/>
    <w:rsid w:val="00D10822"/>
    <w:rsid w:val="00D436DB"/>
    <w:rsid w:val="00F92417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0242A9"/>
    <w:pPr>
      <w:suppressAutoHyphens w:val="0"/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uiPriority w:val="99"/>
    <w:rsid w:val="000242A9"/>
    <w:rPr>
      <w:rFonts w:eastAsia="Times New Roman"/>
      <w:sz w:val="16"/>
      <w:szCs w:val="16"/>
      <w:lang w:eastAsia="en-US"/>
    </w:rPr>
  </w:style>
  <w:style w:type="paragraph" w:styleId="SemEspaamento">
    <w:name w:val="No Spacing"/>
    <w:uiPriority w:val="1"/>
    <w:qFormat/>
    <w:rsid w:val="00091208"/>
    <w:rPr>
      <w:rFonts w:eastAsia="Times New Roman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7125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0242A9"/>
    <w:pPr>
      <w:suppressAutoHyphens w:val="0"/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uiPriority w:val="99"/>
    <w:rsid w:val="000242A9"/>
    <w:rPr>
      <w:rFonts w:eastAsia="Times New Roman"/>
      <w:sz w:val="16"/>
      <w:szCs w:val="16"/>
      <w:lang w:eastAsia="en-US"/>
    </w:rPr>
  </w:style>
  <w:style w:type="paragraph" w:styleId="SemEspaamento">
    <w:name w:val="No Spacing"/>
    <w:uiPriority w:val="1"/>
    <w:qFormat/>
    <w:rsid w:val="00091208"/>
    <w:rPr>
      <w:rFonts w:eastAsia="Times New Roman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7125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ana_cavazini@outlook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  <vt:variant>
        <vt:i4>6160494</vt:i4>
      </vt:variant>
      <vt:variant>
        <vt:i4>0</vt:i4>
      </vt:variant>
      <vt:variant>
        <vt:i4>0</vt:i4>
      </vt:variant>
      <vt:variant>
        <vt:i4>5</vt:i4>
      </vt:variant>
      <vt:variant>
        <vt:lpwstr>mailto:pinheiro@unioeste.br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dcterms:created xsi:type="dcterms:W3CDTF">2016-08-15T16:36:00Z</dcterms:created>
  <dcterms:modified xsi:type="dcterms:W3CDTF">2016-08-15T16:36:00Z</dcterms:modified>
</cp:coreProperties>
</file>