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45" w:rsidRDefault="001D5553" w:rsidP="00F80945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Produtividade de </w:t>
      </w:r>
      <w:r w:rsidR="00F80945" w:rsidRPr="00A65F73">
        <w:rPr>
          <w:rFonts w:ascii="Arial" w:hAnsi="Arial" w:cs="Arial"/>
          <w:b/>
        </w:rPr>
        <w:t xml:space="preserve">Alface </w:t>
      </w:r>
      <w:proofErr w:type="spellStart"/>
      <w:r w:rsidR="00F80945" w:rsidRPr="00A65F73">
        <w:rPr>
          <w:rFonts w:ascii="Arial" w:hAnsi="Arial" w:cs="Arial"/>
          <w:b/>
        </w:rPr>
        <w:t>Frisée</w:t>
      </w:r>
      <w:proofErr w:type="spellEnd"/>
      <w:r w:rsidR="00F80945" w:rsidRPr="00A65F7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e rabanete em função do arranjo e da época de estabelecimento do consorcio </w:t>
      </w:r>
    </w:p>
    <w:p w:rsidR="00C51236" w:rsidRDefault="00C51236" w:rsidP="00F80945">
      <w:pPr>
        <w:contextualSpacing/>
        <w:jc w:val="center"/>
      </w:pPr>
    </w:p>
    <w:p w:rsidR="003701CB" w:rsidRDefault="003701CB" w:rsidP="003701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Eduardo </w:t>
      </w:r>
      <w:proofErr w:type="spellStart"/>
      <w:r>
        <w:rPr>
          <w:rFonts w:ascii="Arial" w:hAnsi="Arial" w:cs="Arial"/>
        </w:rPr>
        <w:t>Kroth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Angnes</w:t>
      </w:r>
      <w:proofErr w:type="spellEnd"/>
      <w:r>
        <w:rPr>
          <w:rFonts w:ascii="Arial" w:hAnsi="Arial" w:cs="Arial"/>
        </w:rPr>
        <w:t xml:space="preserve"> (PIBIC/</w:t>
      </w:r>
      <w:r w:rsidRPr="008E3EF1">
        <w:t xml:space="preserve"> </w:t>
      </w:r>
      <w:r w:rsidRPr="008E3EF1">
        <w:rPr>
          <w:rFonts w:ascii="Arial" w:hAnsi="Arial" w:cs="Arial"/>
        </w:rPr>
        <w:t>Fundação Araucária</w:t>
      </w:r>
      <w:r>
        <w:rPr>
          <w:rFonts w:ascii="Arial" w:hAnsi="Arial" w:cs="Arial"/>
        </w:rPr>
        <w:t xml:space="preserve"> /</w:t>
      </w:r>
      <w:proofErr w:type="spellStart"/>
      <w:r>
        <w:rPr>
          <w:rFonts w:ascii="Arial" w:hAnsi="Arial" w:cs="Arial"/>
        </w:rPr>
        <w:t>Unioeste</w:t>
      </w:r>
      <w:proofErr w:type="spellEnd"/>
      <w:r>
        <w:rPr>
          <w:rFonts w:ascii="Arial" w:hAnsi="Arial" w:cs="Arial"/>
        </w:rPr>
        <w:t xml:space="preserve">), </w:t>
      </w:r>
      <w:r w:rsidRPr="008E3EF1">
        <w:rPr>
          <w:rFonts w:ascii="Arial" w:hAnsi="Arial" w:cs="Arial"/>
        </w:rPr>
        <w:t xml:space="preserve">Márcia de Moraes </w:t>
      </w:r>
      <w:proofErr w:type="spellStart"/>
      <w:r w:rsidRPr="008E3EF1">
        <w:rPr>
          <w:rFonts w:ascii="Arial" w:hAnsi="Arial" w:cs="Arial"/>
        </w:rPr>
        <w:t>Echer</w:t>
      </w:r>
      <w:proofErr w:type="spellEnd"/>
      <w:r>
        <w:rPr>
          <w:rFonts w:ascii="Arial" w:hAnsi="Arial" w:cs="Arial"/>
        </w:rPr>
        <w:t xml:space="preserve"> (Orientador), </w:t>
      </w:r>
      <w:proofErr w:type="spellStart"/>
      <w:r w:rsidR="003D5510">
        <w:rPr>
          <w:rFonts w:ascii="Arial" w:hAnsi="Arial" w:cs="Arial"/>
        </w:rPr>
        <w:t>Claudineia</w:t>
      </w:r>
      <w:proofErr w:type="spellEnd"/>
      <w:r w:rsidR="003D5510">
        <w:rPr>
          <w:rFonts w:ascii="Arial" w:hAnsi="Arial" w:cs="Arial"/>
        </w:rPr>
        <w:t xml:space="preserve"> Borba Rodrigues</w:t>
      </w:r>
      <w:r>
        <w:rPr>
          <w:rFonts w:ascii="Arial" w:hAnsi="Arial" w:cs="Arial"/>
        </w:rPr>
        <w:t xml:space="preserve">, Karina </w:t>
      </w:r>
      <w:proofErr w:type="spellStart"/>
      <w:r>
        <w:rPr>
          <w:rFonts w:ascii="Arial" w:hAnsi="Arial" w:cs="Arial"/>
        </w:rPr>
        <w:t>Kestring</w:t>
      </w:r>
      <w:proofErr w:type="spellEnd"/>
      <w:r>
        <w:rPr>
          <w:rFonts w:ascii="Arial" w:hAnsi="Arial" w:cs="Arial"/>
        </w:rPr>
        <w:t xml:space="preserve">, </w:t>
      </w:r>
      <w:r w:rsidR="003D5510">
        <w:rPr>
          <w:rFonts w:ascii="Arial" w:hAnsi="Arial" w:cs="Arial"/>
        </w:rPr>
        <w:t xml:space="preserve">Pablo </w:t>
      </w:r>
      <w:proofErr w:type="spellStart"/>
      <w:r w:rsidR="003D5510">
        <w:rPr>
          <w:rFonts w:ascii="Arial" w:hAnsi="Arial" w:cs="Arial"/>
        </w:rPr>
        <w:t>Wenderson</w:t>
      </w:r>
      <w:proofErr w:type="spellEnd"/>
      <w:r w:rsidR="003D5510">
        <w:rPr>
          <w:rFonts w:ascii="Arial" w:hAnsi="Arial" w:cs="Arial"/>
        </w:rPr>
        <w:t xml:space="preserve"> Ribeiro Coutinho</w:t>
      </w:r>
      <w:r>
        <w:rPr>
          <w:rFonts w:ascii="Arial" w:hAnsi="Arial" w:cs="Arial"/>
        </w:rPr>
        <w:t xml:space="preserve">, e-mail: </w:t>
      </w:r>
      <w:r w:rsidRPr="00DE783D">
        <w:rPr>
          <w:rFonts w:ascii="Arial" w:hAnsi="Arial" w:cs="Arial"/>
        </w:rPr>
        <w:t>eduardo.angnes@gmail.com</w:t>
      </w:r>
      <w:hyperlink r:id="rId6" w:history="1"/>
      <w:r>
        <w:rPr>
          <w:rFonts w:ascii="Arial" w:hAnsi="Arial" w:cs="Arial"/>
        </w:rPr>
        <w:t>.</w:t>
      </w:r>
    </w:p>
    <w:p w:rsidR="00F80945" w:rsidRDefault="00F80945" w:rsidP="00F80945">
      <w:pPr>
        <w:jc w:val="center"/>
        <w:rPr>
          <w:rFonts w:ascii="Arial" w:hAnsi="Arial" w:cs="Arial"/>
        </w:rPr>
      </w:pPr>
    </w:p>
    <w:p w:rsidR="00F80945" w:rsidRDefault="00F80945" w:rsidP="00F809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Universidade Estadual do Oeste do Paraná/Centro de Ciências Agrárias/Marechal Cândido Rondon, PR.</w:t>
      </w:r>
    </w:p>
    <w:p w:rsidR="00F80945" w:rsidRDefault="00F80945" w:rsidP="00500F10"/>
    <w:p w:rsidR="00F80945" w:rsidRDefault="00F80945" w:rsidP="00F80945">
      <w:pPr>
        <w:jc w:val="both"/>
        <w:rPr>
          <w:rFonts w:ascii="Arial" w:hAnsi="Arial" w:cs="Arial"/>
          <w:szCs w:val="18"/>
          <w:shd w:val="clear" w:color="auto" w:fill="FEFEFE"/>
        </w:rPr>
      </w:pPr>
      <w:r w:rsidRPr="003B0CC6">
        <w:rPr>
          <w:rFonts w:ascii="Arial" w:hAnsi="Arial" w:cs="Arial"/>
          <w:szCs w:val="18"/>
          <w:shd w:val="clear" w:color="auto" w:fill="FEFEFE"/>
        </w:rPr>
        <w:t>Ciências Agrárias/Agronomia</w:t>
      </w:r>
    </w:p>
    <w:p w:rsidR="00F80945" w:rsidRDefault="00F80945" w:rsidP="00F80945">
      <w:pPr>
        <w:jc w:val="both"/>
      </w:pPr>
    </w:p>
    <w:p w:rsidR="00F80945" w:rsidRPr="003B0CC6" w:rsidRDefault="00F80945" w:rsidP="00F8094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Palavras-chave: </w:t>
      </w:r>
      <w:proofErr w:type="spellStart"/>
      <w:r w:rsidRPr="00D44396">
        <w:rPr>
          <w:rFonts w:ascii="Arial" w:hAnsi="Arial" w:cs="Arial"/>
          <w:i/>
        </w:rPr>
        <w:t>Lactuca</w:t>
      </w:r>
      <w:proofErr w:type="spellEnd"/>
      <w:r w:rsidRPr="00D44396">
        <w:rPr>
          <w:rFonts w:ascii="Arial" w:hAnsi="Arial" w:cs="Arial"/>
          <w:i/>
        </w:rPr>
        <w:t xml:space="preserve"> sativa</w:t>
      </w:r>
      <w:r w:rsidRPr="003B0CC6">
        <w:rPr>
          <w:rFonts w:ascii="Arial" w:hAnsi="Arial" w:cs="Arial"/>
          <w:i/>
        </w:rPr>
        <w:t xml:space="preserve">, </w:t>
      </w:r>
      <w:proofErr w:type="spellStart"/>
      <w:r w:rsidRPr="003B0CC6">
        <w:rPr>
          <w:rFonts w:ascii="Arial" w:hAnsi="Arial" w:cs="Arial"/>
          <w:i/>
          <w:color w:val="222222"/>
          <w:shd w:val="clear" w:color="auto" w:fill="FFFFFF"/>
        </w:rPr>
        <w:t>Raphanus</w:t>
      </w:r>
      <w:proofErr w:type="spellEnd"/>
      <w:r w:rsidRPr="003B0CC6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Pr="003B0CC6">
        <w:rPr>
          <w:rFonts w:ascii="Arial" w:hAnsi="Arial" w:cs="Arial"/>
          <w:i/>
          <w:color w:val="222222"/>
          <w:shd w:val="clear" w:color="auto" w:fill="FFFFFF"/>
        </w:rPr>
        <w:t>sativus</w:t>
      </w:r>
      <w:proofErr w:type="spellEnd"/>
      <w:r w:rsidRPr="003B0CC6">
        <w:rPr>
          <w:rFonts w:ascii="Arial" w:hAnsi="Arial" w:cs="Arial"/>
          <w:i/>
          <w:color w:val="222222"/>
          <w:shd w:val="clear" w:color="auto" w:fill="FFFFFF"/>
        </w:rPr>
        <w:t xml:space="preserve">, </w:t>
      </w:r>
      <w:r w:rsidRPr="003B0CC6">
        <w:rPr>
          <w:rFonts w:ascii="Arial" w:hAnsi="Arial" w:cs="Arial"/>
          <w:color w:val="222222"/>
          <w:shd w:val="clear" w:color="auto" w:fill="FFFFFF"/>
        </w:rPr>
        <w:t>consorci</w:t>
      </w:r>
      <w:r w:rsidR="001D5553">
        <w:rPr>
          <w:rFonts w:ascii="Arial" w:hAnsi="Arial" w:cs="Arial"/>
          <w:color w:val="222222"/>
          <w:shd w:val="clear" w:color="auto" w:fill="FFFFFF"/>
        </w:rPr>
        <w:t>o de culturas</w:t>
      </w:r>
      <w:r w:rsidRPr="003B0CC6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:rsidR="00F80945" w:rsidRDefault="00F80945" w:rsidP="00F80945"/>
    <w:p w:rsidR="00F80945" w:rsidRDefault="00F80945" w:rsidP="00F80945">
      <w:pPr>
        <w:rPr>
          <w:rFonts w:ascii="Arial" w:hAnsi="Arial" w:cs="Arial"/>
        </w:rPr>
      </w:pPr>
      <w:r>
        <w:rPr>
          <w:rFonts w:ascii="Arial" w:hAnsi="Arial" w:cs="Arial"/>
          <w:b/>
        </w:rPr>
        <w:t>Resumo</w:t>
      </w:r>
    </w:p>
    <w:p w:rsidR="00F80945" w:rsidRPr="003D78F4" w:rsidRDefault="00F80945" w:rsidP="00F80945">
      <w:pPr>
        <w:jc w:val="both"/>
        <w:rPr>
          <w:rFonts w:ascii="Arial" w:hAnsi="Arial" w:cs="Arial"/>
        </w:rPr>
      </w:pPr>
      <w:bookmarkStart w:id="0" w:name="_GoBack"/>
      <w:bookmarkEnd w:id="0"/>
      <w:r w:rsidRPr="003D78F4">
        <w:rPr>
          <w:rFonts w:ascii="Arial" w:hAnsi="Arial" w:cs="Arial"/>
          <w:color w:val="1D2129"/>
          <w:shd w:val="clear" w:color="auto" w:fill="FFFFFF"/>
        </w:rPr>
        <w:t>O presente trabalho teve como objetivo avaliar as características produtivas de alface e rabanete, em função d</w:t>
      </w:r>
      <w:r w:rsidR="001D5553">
        <w:rPr>
          <w:rFonts w:ascii="Arial" w:hAnsi="Arial" w:cs="Arial"/>
          <w:color w:val="1D2129"/>
          <w:shd w:val="clear" w:color="auto" w:fill="FFFFFF"/>
        </w:rPr>
        <w:t>o arranjo e d</w:t>
      </w:r>
      <w:r w:rsidRPr="003D78F4">
        <w:rPr>
          <w:rFonts w:ascii="Arial" w:hAnsi="Arial" w:cs="Arial"/>
          <w:color w:val="1D2129"/>
          <w:shd w:val="clear" w:color="auto" w:fill="FFFFFF"/>
        </w:rPr>
        <w:t>a época de es</w:t>
      </w:r>
      <w:r w:rsidR="0083452A">
        <w:rPr>
          <w:rFonts w:ascii="Arial" w:hAnsi="Arial" w:cs="Arial"/>
          <w:color w:val="1D2129"/>
          <w:shd w:val="clear" w:color="auto" w:fill="FFFFFF"/>
        </w:rPr>
        <w:t>tabelecimento do consórcio</w:t>
      </w:r>
      <w:r w:rsidRPr="003D78F4">
        <w:rPr>
          <w:rFonts w:ascii="Arial" w:hAnsi="Arial" w:cs="Arial"/>
          <w:color w:val="1D2129"/>
          <w:shd w:val="clear" w:color="auto" w:fill="FFFFFF"/>
        </w:rPr>
        <w:t xml:space="preserve">. O experimento foi conduzido na estação experimental da UNIOESTE, em </w:t>
      </w:r>
      <w:r w:rsidRPr="003D78F4">
        <w:rPr>
          <w:rFonts w:ascii="Arial" w:hAnsi="Arial" w:cs="Arial"/>
        </w:rPr>
        <w:t xml:space="preserve">delineamento </w:t>
      </w:r>
      <w:r>
        <w:rPr>
          <w:rFonts w:ascii="Arial" w:hAnsi="Arial" w:cs="Arial"/>
        </w:rPr>
        <w:t xml:space="preserve">de blocos ao acaso, em esquema fatorial </w:t>
      </w:r>
      <w:r w:rsidR="0083452A">
        <w:rPr>
          <w:rFonts w:ascii="Arial" w:hAnsi="Arial" w:cs="Arial"/>
        </w:rPr>
        <w:t>triplo de 3x2x2</w:t>
      </w:r>
      <w:r>
        <w:rPr>
          <w:rFonts w:ascii="Arial" w:hAnsi="Arial" w:cs="Arial"/>
        </w:rPr>
        <w:t>, com quatro repetições, sendo o primeiro fator constituído pel</w:t>
      </w:r>
      <w:r w:rsidR="001D5553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 xml:space="preserve">épocas </w:t>
      </w:r>
      <w:r w:rsidR="0083452A">
        <w:rPr>
          <w:rFonts w:ascii="Arial" w:hAnsi="Arial" w:cs="Arial"/>
        </w:rPr>
        <w:t xml:space="preserve">de estabelecimento do consórcio de alface e rabanete (0, 7 e 14 dias após o transplante da alface), </w:t>
      </w:r>
      <w:r w:rsidR="00623409">
        <w:rPr>
          <w:rFonts w:ascii="Arial" w:hAnsi="Arial" w:cs="Arial"/>
        </w:rPr>
        <w:t>o segundo</w:t>
      </w:r>
      <w:r w:rsidR="0083452A">
        <w:rPr>
          <w:rFonts w:ascii="Arial" w:hAnsi="Arial" w:cs="Arial"/>
        </w:rPr>
        <w:t xml:space="preserve"> pelo arranjo</w:t>
      </w:r>
      <w:r w:rsidR="00A31F61">
        <w:rPr>
          <w:rFonts w:ascii="Arial" w:hAnsi="Arial" w:cs="Arial"/>
        </w:rPr>
        <w:t xml:space="preserve"> das linhas do rabanete (</w:t>
      </w:r>
      <w:r w:rsidR="00E82037">
        <w:rPr>
          <w:rFonts w:ascii="Arial" w:hAnsi="Arial" w:cs="Arial"/>
        </w:rPr>
        <w:t xml:space="preserve">2 e </w:t>
      </w:r>
      <w:r w:rsidR="00A31F61">
        <w:rPr>
          <w:rFonts w:ascii="Arial" w:hAnsi="Arial" w:cs="Arial"/>
        </w:rPr>
        <w:t>3 linhas entre linhas da alface)</w:t>
      </w:r>
      <w:r>
        <w:rPr>
          <w:rFonts w:ascii="Arial" w:hAnsi="Arial" w:cs="Arial"/>
        </w:rPr>
        <w:t xml:space="preserve">, </w:t>
      </w:r>
      <w:r w:rsidR="00623409">
        <w:rPr>
          <w:rFonts w:ascii="Arial" w:hAnsi="Arial" w:cs="Arial"/>
        </w:rPr>
        <w:t xml:space="preserve">e o terceiro </w:t>
      </w:r>
      <w:r w:rsidR="002E0B0C">
        <w:rPr>
          <w:rFonts w:ascii="Arial" w:hAnsi="Arial" w:cs="Arial"/>
        </w:rPr>
        <w:t>pelo</w:t>
      </w:r>
      <w:r w:rsidR="00623409">
        <w:rPr>
          <w:rFonts w:ascii="Arial" w:hAnsi="Arial" w:cs="Arial"/>
        </w:rPr>
        <w:t xml:space="preserve"> sistema de cultivo (monocultivo e consorcio)</w:t>
      </w:r>
      <w:r w:rsidR="004B47AA">
        <w:rPr>
          <w:rFonts w:ascii="Arial" w:hAnsi="Arial" w:cs="Arial"/>
        </w:rPr>
        <w:t>.</w:t>
      </w:r>
      <w:r w:rsidR="00623409">
        <w:rPr>
          <w:rFonts w:ascii="Arial" w:hAnsi="Arial" w:cs="Arial"/>
        </w:rPr>
        <w:t xml:space="preserve"> </w:t>
      </w:r>
      <w:r w:rsidR="004B47A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rabanete foi implantado em monocultivo em cada época que </w:t>
      </w:r>
      <w:r w:rsidR="0083452A">
        <w:rPr>
          <w:rFonts w:ascii="Arial" w:hAnsi="Arial" w:cs="Arial"/>
        </w:rPr>
        <w:t>foi realizada</w:t>
      </w:r>
      <w:r>
        <w:rPr>
          <w:rFonts w:ascii="Arial" w:hAnsi="Arial" w:cs="Arial"/>
        </w:rPr>
        <w:t xml:space="preserve"> o consórcio, a fim de isolar possível efeito da época de plantio. Avaliou-se na alface a altura da planta, o número </w:t>
      </w:r>
      <w:r w:rsidR="00A31F61">
        <w:rPr>
          <w:rFonts w:ascii="Arial" w:hAnsi="Arial" w:cs="Arial"/>
        </w:rPr>
        <w:t>de folhas,</w:t>
      </w:r>
      <w:r>
        <w:rPr>
          <w:rFonts w:ascii="Arial" w:hAnsi="Arial" w:cs="Arial"/>
        </w:rPr>
        <w:t xml:space="preserve"> a massa fresca da parte aérea</w:t>
      </w:r>
      <w:r w:rsidR="00A31F61">
        <w:rPr>
          <w:rFonts w:ascii="Arial" w:hAnsi="Arial" w:cs="Arial"/>
        </w:rPr>
        <w:t xml:space="preserve"> e produtividade</w:t>
      </w:r>
      <w:r>
        <w:rPr>
          <w:rFonts w:ascii="Arial" w:hAnsi="Arial" w:cs="Arial"/>
        </w:rPr>
        <w:t>. Para o rabanete foi avaliado a altura da planta, o</w:t>
      </w:r>
      <w:r w:rsidR="00A31F61">
        <w:rPr>
          <w:rFonts w:ascii="Arial" w:hAnsi="Arial" w:cs="Arial"/>
        </w:rPr>
        <w:t xml:space="preserve"> diâmetro e comprimento da raiz, a</w:t>
      </w:r>
      <w:r>
        <w:rPr>
          <w:rFonts w:ascii="Arial" w:hAnsi="Arial" w:cs="Arial"/>
        </w:rPr>
        <w:t xml:space="preserve"> massa fresca da raiz</w:t>
      </w:r>
      <w:r w:rsidR="00A31F61">
        <w:rPr>
          <w:rFonts w:ascii="Arial" w:hAnsi="Arial" w:cs="Arial"/>
        </w:rPr>
        <w:t xml:space="preserve"> e produtividade</w:t>
      </w:r>
      <w:r>
        <w:rPr>
          <w:rFonts w:ascii="Arial" w:hAnsi="Arial" w:cs="Arial"/>
        </w:rPr>
        <w:t>. Além de avaliar a eficiência do consórcio na época de es</w:t>
      </w:r>
      <w:r w:rsidR="00460F0C">
        <w:rPr>
          <w:rFonts w:ascii="Arial" w:hAnsi="Arial" w:cs="Arial"/>
        </w:rPr>
        <w:t>tabelecimento e arranjos. A altura de plantas e o comprimento de raiz do rabanete foram influenciados</w:t>
      </w:r>
      <w:r>
        <w:rPr>
          <w:rFonts w:ascii="Arial" w:hAnsi="Arial" w:cs="Arial"/>
        </w:rPr>
        <w:t xml:space="preserve"> pela época de estabelecimento. Tod</w:t>
      </w:r>
      <w:r w:rsidR="0083452A">
        <w:rPr>
          <w:rFonts w:ascii="Arial" w:hAnsi="Arial" w:cs="Arial"/>
        </w:rPr>
        <w:t>a</w:t>
      </w:r>
      <w:r>
        <w:rPr>
          <w:rFonts w:ascii="Arial" w:hAnsi="Arial" w:cs="Arial"/>
        </w:rPr>
        <w:t>s as épocas consorciadas para os dois arranjos foram agronomicamente viáveis, por apresentar Uso Eficiente da Terra (UET) acima de um.</w:t>
      </w:r>
    </w:p>
    <w:p w:rsidR="00F80945" w:rsidRDefault="00F80945" w:rsidP="00F80945">
      <w:pPr>
        <w:jc w:val="both"/>
        <w:rPr>
          <w:rFonts w:ascii="Arial" w:hAnsi="Arial" w:cs="Arial"/>
        </w:rPr>
      </w:pPr>
    </w:p>
    <w:p w:rsidR="00F80945" w:rsidRDefault="00F80945" w:rsidP="00F80945">
      <w:r>
        <w:rPr>
          <w:rFonts w:ascii="Arial" w:hAnsi="Arial" w:cs="Arial"/>
          <w:b/>
        </w:rPr>
        <w:t>Introdução</w:t>
      </w:r>
    </w:p>
    <w:p w:rsidR="00F80945" w:rsidRDefault="00F80945" w:rsidP="00F80945">
      <w:pPr>
        <w:jc w:val="both"/>
        <w:rPr>
          <w:rFonts w:ascii="Arial" w:hAnsi="Arial" w:cs="Arial"/>
        </w:rPr>
      </w:pPr>
    </w:p>
    <w:p w:rsidR="00F80945" w:rsidRPr="00CE2CD1" w:rsidRDefault="00F80945" w:rsidP="00F80945">
      <w:pPr>
        <w:ind w:firstLine="709"/>
        <w:contextualSpacing/>
        <w:jc w:val="both"/>
        <w:rPr>
          <w:rFonts w:ascii="Arial" w:hAnsi="Arial" w:cs="Arial"/>
        </w:rPr>
      </w:pPr>
      <w:r w:rsidRPr="00CE2CD1">
        <w:rPr>
          <w:rFonts w:ascii="Arial" w:hAnsi="Arial" w:cs="Arial"/>
        </w:rPr>
        <w:t>A consorciação de culturas se dá pelo cultivo de duas ou mais espécies com diferentes ciclos e arquiteturas vegetativas, cultivadas na mesma área em um mesmo período de tempo, que não necessariamente tenham sido semeadas ao mesmo tempo (P</w:t>
      </w:r>
      <w:r>
        <w:rPr>
          <w:rFonts w:ascii="Arial" w:hAnsi="Arial" w:cs="Arial"/>
        </w:rPr>
        <w:t>into</w:t>
      </w:r>
      <w:r w:rsidR="0083452A">
        <w:rPr>
          <w:rFonts w:ascii="Arial" w:hAnsi="Arial" w:cs="Arial"/>
        </w:rPr>
        <w:t xml:space="preserve"> et al., 2011</w:t>
      </w:r>
      <w:r w:rsidRPr="00CE2CD1">
        <w:rPr>
          <w:rFonts w:ascii="Arial" w:hAnsi="Arial" w:cs="Arial"/>
        </w:rPr>
        <w:t>).</w:t>
      </w:r>
    </w:p>
    <w:p w:rsidR="00A32279" w:rsidRDefault="00F80945" w:rsidP="00F80945">
      <w:pPr>
        <w:ind w:firstLine="709"/>
        <w:contextualSpacing/>
        <w:jc w:val="both"/>
        <w:rPr>
          <w:rFonts w:ascii="Arial" w:hAnsi="Arial" w:cs="Arial"/>
        </w:rPr>
      </w:pPr>
      <w:r w:rsidRPr="00CE2CD1">
        <w:rPr>
          <w:rFonts w:ascii="Arial" w:hAnsi="Arial" w:cs="Arial"/>
        </w:rPr>
        <w:t>O notável desafio para o êxito de sistemas consorciados, segundo C</w:t>
      </w:r>
      <w:r>
        <w:rPr>
          <w:rFonts w:ascii="Arial" w:hAnsi="Arial" w:cs="Arial"/>
        </w:rPr>
        <w:t>ecílio</w:t>
      </w:r>
      <w:r w:rsidRPr="00CE2CD1">
        <w:rPr>
          <w:rFonts w:ascii="Arial" w:hAnsi="Arial" w:cs="Arial"/>
        </w:rPr>
        <w:t xml:space="preserve"> F</w:t>
      </w:r>
      <w:r>
        <w:rPr>
          <w:rFonts w:ascii="Arial" w:hAnsi="Arial" w:cs="Arial"/>
        </w:rPr>
        <w:t>ilho</w:t>
      </w:r>
      <w:r w:rsidRPr="00CE2CD1">
        <w:rPr>
          <w:rFonts w:ascii="Arial" w:hAnsi="Arial" w:cs="Arial"/>
        </w:rPr>
        <w:t xml:space="preserve"> &amp; M</w:t>
      </w:r>
      <w:r>
        <w:rPr>
          <w:rFonts w:ascii="Arial" w:hAnsi="Arial" w:cs="Arial"/>
        </w:rPr>
        <w:t>ay</w:t>
      </w:r>
      <w:r w:rsidRPr="00CE2CD1">
        <w:rPr>
          <w:rFonts w:ascii="Arial" w:hAnsi="Arial" w:cs="Arial"/>
        </w:rPr>
        <w:t xml:space="preserve"> (2002), está na eficácia em determinar as culturas a serem utilizadas e, </w:t>
      </w:r>
      <w:r w:rsidRPr="00CE2CD1">
        <w:rPr>
          <w:rFonts w:ascii="Arial" w:hAnsi="Arial" w:cs="Arial"/>
        </w:rPr>
        <w:lastRenderedPageBreak/>
        <w:t xml:space="preserve">principalmente, o manejo do consórcio, já que a efetividade deste sistema se dará pela complementação entre as culturas, sendo quanto maior essa integração, menor serão os efeitos negativos sobre as mesmas. </w:t>
      </w:r>
    </w:p>
    <w:p w:rsidR="00F80945" w:rsidRPr="00CE2CD1" w:rsidRDefault="00F80945" w:rsidP="00F80945">
      <w:pPr>
        <w:ind w:firstLine="709"/>
        <w:contextualSpacing/>
        <w:jc w:val="both"/>
        <w:rPr>
          <w:rFonts w:ascii="Arial" w:hAnsi="Arial" w:cs="Arial"/>
        </w:rPr>
      </w:pPr>
      <w:r w:rsidRPr="00CE2CD1">
        <w:rPr>
          <w:rFonts w:ascii="Arial" w:hAnsi="Arial" w:cs="Arial"/>
        </w:rPr>
        <w:t>Neste sistema de plantio, normalmente as espécies cultivadas de opõem em altura e em distribuição das folhas no espaço, dentre outras características morfológicas que podem levar à competição por luz, água e nutrientes (V</w:t>
      </w:r>
      <w:r>
        <w:rPr>
          <w:rFonts w:ascii="Arial" w:hAnsi="Arial" w:cs="Arial"/>
        </w:rPr>
        <w:t>iegas</w:t>
      </w:r>
      <w:r w:rsidRPr="00CE2CD1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eto</w:t>
      </w:r>
      <w:r w:rsidRPr="00CE2CD1">
        <w:rPr>
          <w:rFonts w:ascii="Arial" w:hAnsi="Arial" w:cs="Arial"/>
        </w:rPr>
        <w:t xml:space="preserve"> et al., 2012). </w:t>
      </w:r>
    </w:p>
    <w:p w:rsidR="00F80945" w:rsidRPr="00CE2CD1" w:rsidRDefault="00F80945" w:rsidP="004A0F9E">
      <w:pPr>
        <w:ind w:firstLine="709"/>
        <w:contextualSpacing/>
        <w:jc w:val="both"/>
        <w:rPr>
          <w:rFonts w:ascii="Arial" w:hAnsi="Arial" w:cs="Arial"/>
        </w:rPr>
      </w:pPr>
      <w:r w:rsidRPr="00CE2CD1">
        <w:rPr>
          <w:rFonts w:ascii="Arial" w:hAnsi="Arial" w:cs="Arial"/>
        </w:rPr>
        <w:t>O presente trabalho teve como objetivo avaliar as características produtivas da alface consorciada com rabanete em diferentes épocas de estabelecimento do rabanete, em duas e três linhas de cultivo.</w:t>
      </w:r>
    </w:p>
    <w:p w:rsidR="00F80945" w:rsidRPr="00CE2CD1" w:rsidRDefault="00F80945" w:rsidP="00F80945">
      <w:pPr>
        <w:jc w:val="both"/>
        <w:rPr>
          <w:rFonts w:ascii="Arial" w:hAnsi="Arial" w:cs="Arial"/>
        </w:rPr>
      </w:pPr>
    </w:p>
    <w:p w:rsidR="00F80945" w:rsidRPr="00CE2CD1" w:rsidRDefault="00F80945" w:rsidP="00F80945">
      <w:pPr>
        <w:jc w:val="both"/>
        <w:rPr>
          <w:rFonts w:ascii="Arial" w:hAnsi="Arial" w:cs="Arial"/>
          <w:b/>
        </w:rPr>
      </w:pPr>
      <w:r w:rsidRPr="00CE2CD1">
        <w:rPr>
          <w:rFonts w:ascii="Arial" w:hAnsi="Arial" w:cs="Arial"/>
          <w:b/>
        </w:rPr>
        <w:t>Material e Métodos</w:t>
      </w:r>
    </w:p>
    <w:p w:rsidR="00F80945" w:rsidRPr="00CE2CD1" w:rsidRDefault="00F80945" w:rsidP="00F80945">
      <w:pPr>
        <w:jc w:val="both"/>
        <w:rPr>
          <w:rFonts w:ascii="Arial" w:hAnsi="Arial" w:cs="Arial"/>
        </w:rPr>
      </w:pPr>
    </w:p>
    <w:p w:rsidR="00F80945" w:rsidRPr="00CE2CD1" w:rsidRDefault="00F80945" w:rsidP="00F80945">
      <w:pPr>
        <w:ind w:firstLine="709"/>
        <w:contextualSpacing/>
        <w:jc w:val="both"/>
        <w:rPr>
          <w:rFonts w:ascii="Arial" w:hAnsi="Arial" w:cs="Arial"/>
        </w:rPr>
      </w:pPr>
      <w:r w:rsidRPr="00CE2CD1">
        <w:rPr>
          <w:rFonts w:ascii="Arial" w:hAnsi="Arial" w:cs="Arial"/>
        </w:rPr>
        <w:t xml:space="preserve">O experimento foi desenvolvido na Estação Experimental </w:t>
      </w:r>
      <w:r w:rsidR="00623409">
        <w:rPr>
          <w:rFonts w:ascii="Arial" w:hAnsi="Arial" w:cs="Arial"/>
        </w:rPr>
        <w:t>da UNIOESTE</w:t>
      </w:r>
      <w:r w:rsidR="00E82037">
        <w:rPr>
          <w:rFonts w:ascii="Arial" w:hAnsi="Arial" w:cs="Arial"/>
        </w:rPr>
        <w:t xml:space="preserve"> do município de Marechal Candido Rondon</w:t>
      </w:r>
      <w:r w:rsidRPr="00CE2CD1">
        <w:rPr>
          <w:rFonts w:ascii="Arial" w:hAnsi="Arial" w:cs="Arial"/>
        </w:rPr>
        <w:t xml:space="preserve"> (24º 33’ 22” S; 54º 31’ 24” W; 420 m de altitude), durante o período de março a maio de 2016.</w:t>
      </w:r>
    </w:p>
    <w:p w:rsidR="00F80945" w:rsidRPr="00CE2CD1" w:rsidRDefault="00F80945" w:rsidP="00F80945">
      <w:pPr>
        <w:ind w:firstLine="709"/>
        <w:contextualSpacing/>
        <w:jc w:val="both"/>
        <w:rPr>
          <w:rFonts w:ascii="Arial" w:hAnsi="Arial" w:cs="Arial"/>
        </w:rPr>
      </w:pPr>
      <w:r w:rsidRPr="00CE2CD1">
        <w:rPr>
          <w:rFonts w:ascii="Arial" w:hAnsi="Arial" w:cs="Arial"/>
        </w:rPr>
        <w:t>Para a caracterização química do solo coletou-se amostras em toda a área experimental, na profundidade de 0 a 0,20m, com os resultado de pH (CaCl</w:t>
      </w:r>
      <w:r w:rsidRPr="00CE2CD1">
        <w:rPr>
          <w:rFonts w:ascii="Arial" w:hAnsi="Arial" w:cs="Arial"/>
          <w:vertAlign w:val="subscript"/>
        </w:rPr>
        <w:t>2</w:t>
      </w:r>
      <w:r w:rsidRPr="00CE2CD1">
        <w:rPr>
          <w:rFonts w:ascii="Arial" w:hAnsi="Arial" w:cs="Arial"/>
        </w:rPr>
        <w:t>) = 5,85; MO = 24,61 g dm</w:t>
      </w:r>
      <w:r w:rsidRPr="00CE2CD1">
        <w:rPr>
          <w:rFonts w:ascii="Arial" w:hAnsi="Arial" w:cs="Arial"/>
          <w:vertAlign w:val="superscript"/>
        </w:rPr>
        <w:t>-3</w:t>
      </w:r>
      <w:r w:rsidRPr="00CE2CD1">
        <w:rPr>
          <w:rFonts w:ascii="Arial" w:hAnsi="Arial" w:cs="Arial"/>
        </w:rPr>
        <w:t>; P = 134,20 mg dm</w:t>
      </w:r>
      <w:r w:rsidRPr="00CE2CD1">
        <w:rPr>
          <w:rFonts w:ascii="Arial" w:hAnsi="Arial" w:cs="Arial"/>
          <w:vertAlign w:val="superscript"/>
        </w:rPr>
        <w:t>-3</w:t>
      </w:r>
      <w:r w:rsidRPr="00CE2CD1">
        <w:rPr>
          <w:rFonts w:ascii="Arial" w:hAnsi="Arial" w:cs="Arial"/>
        </w:rPr>
        <w:t xml:space="preserve">; K = 0,85 </w:t>
      </w:r>
      <w:proofErr w:type="spellStart"/>
      <w:r w:rsidRPr="00CE2CD1">
        <w:rPr>
          <w:rFonts w:ascii="Arial" w:hAnsi="Arial" w:cs="Arial"/>
        </w:rPr>
        <w:t>cmol</w:t>
      </w:r>
      <w:r w:rsidRPr="00CE2CD1">
        <w:rPr>
          <w:rFonts w:ascii="Arial" w:hAnsi="Arial" w:cs="Arial"/>
          <w:vertAlign w:val="subscript"/>
        </w:rPr>
        <w:t>c</w:t>
      </w:r>
      <w:proofErr w:type="spellEnd"/>
      <w:r w:rsidRPr="00CE2CD1">
        <w:rPr>
          <w:rFonts w:ascii="Arial" w:hAnsi="Arial" w:cs="Arial"/>
        </w:rPr>
        <w:t xml:space="preserve"> dm</w:t>
      </w:r>
      <w:r w:rsidRPr="00CE2CD1">
        <w:rPr>
          <w:rFonts w:ascii="Arial" w:hAnsi="Arial" w:cs="Arial"/>
          <w:vertAlign w:val="superscript"/>
        </w:rPr>
        <w:t>-</w:t>
      </w:r>
      <w:proofErr w:type="gramStart"/>
      <w:r w:rsidRPr="00CE2CD1">
        <w:rPr>
          <w:rFonts w:ascii="Arial" w:hAnsi="Arial" w:cs="Arial"/>
          <w:vertAlign w:val="superscript"/>
        </w:rPr>
        <w:t>3</w:t>
      </w:r>
      <w:r w:rsidRPr="00CE2CD1">
        <w:rPr>
          <w:rFonts w:ascii="Arial" w:hAnsi="Arial" w:cs="Arial"/>
        </w:rPr>
        <w:t>;  Mg</w:t>
      </w:r>
      <w:proofErr w:type="gramEnd"/>
      <w:r w:rsidRPr="00CE2CD1">
        <w:rPr>
          <w:rFonts w:ascii="Arial" w:hAnsi="Arial" w:cs="Arial"/>
          <w:vertAlign w:val="superscript"/>
        </w:rPr>
        <w:t>2+</w:t>
      </w:r>
      <w:r w:rsidRPr="00CE2CD1">
        <w:rPr>
          <w:rFonts w:ascii="Arial" w:hAnsi="Arial" w:cs="Arial"/>
        </w:rPr>
        <w:t xml:space="preserve"> = 3,70 </w:t>
      </w:r>
      <w:proofErr w:type="spellStart"/>
      <w:r w:rsidRPr="00CE2CD1">
        <w:rPr>
          <w:rFonts w:ascii="Arial" w:hAnsi="Arial" w:cs="Arial"/>
        </w:rPr>
        <w:t>cmol</w:t>
      </w:r>
      <w:r w:rsidRPr="00CE2CD1">
        <w:rPr>
          <w:rFonts w:ascii="Arial" w:hAnsi="Arial" w:cs="Arial"/>
          <w:vertAlign w:val="subscript"/>
        </w:rPr>
        <w:t>c</w:t>
      </w:r>
      <w:proofErr w:type="spellEnd"/>
      <w:r w:rsidRPr="00CE2CD1">
        <w:rPr>
          <w:rFonts w:ascii="Arial" w:hAnsi="Arial" w:cs="Arial"/>
        </w:rPr>
        <w:t xml:space="preserve"> dm</w:t>
      </w:r>
      <w:r w:rsidRPr="00CE2CD1">
        <w:rPr>
          <w:rFonts w:ascii="Arial" w:hAnsi="Arial" w:cs="Arial"/>
          <w:vertAlign w:val="superscript"/>
        </w:rPr>
        <w:t>-3</w:t>
      </w:r>
      <w:r w:rsidRPr="00CE2CD1">
        <w:rPr>
          <w:rFonts w:ascii="Arial" w:hAnsi="Arial" w:cs="Arial"/>
        </w:rPr>
        <w:t xml:space="preserve"> ; Al</w:t>
      </w:r>
      <w:r w:rsidRPr="00CE2CD1">
        <w:rPr>
          <w:rFonts w:ascii="Arial" w:hAnsi="Arial" w:cs="Arial"/>
          <w:vertAlign w:val="superscript"/>
        </w:rPr>
        <w:t>3+</w:t>
      </w:r>
      <w:r w:rsidRPr="00CE2CD1">
        <w:rPr>
          <w:rFonts w:ascii="Arial" w:hAnsi="Arial" w:cs="Arial"/>
        </w:rPr>
        <w:t xml:space="preserve"> = 0,00 </w:t>
      </w:r>
      <w:proofErr w:type="spellStart"/>
      <w:r w:rsidRPr="00CE2CD1">
        <w:rPr>
          <w:rFonts w:ascii="Arial" w:hAnsi="Arial" w:cs="Arial"/>
        </w:rPr>
        <w:t>cmol</w:t>
      </w:r>
      <w:r w:rsidRPr="00CE2CD1">
        <w:rPr>
          <w:rFonts w:ascii="Arial" w:hAnsi="Arial" w:cs="Arial"/>
          <w:vertAlign w:val="subscript"/>
        </w:rPr>
        <w:t>c</w:t>
      </w:r>
      <w:proofErr w:type="spellEnd"/>
      <w:r w:rsidRPr="00CE2CD1">
        <w:rPr>
          <w:rFonts w:ascii="Arial" w:hAnsi="Arial" w:cs="Arial"/>
        </w:rPr>
        <w:t xml:space="preserve"> dm</w:t>
      </w:r>
      <w:r w:rsidRPr="00CE2CD1">
        <w:rPr>
          <w:rFonts w:ascii="Arial" w:hAnsi="Arial" w:cs="Arial"/>
          <w:vertAlign w:val="superscript"/>
        </w:rPr>
        <w:t>-3</w:t>
      </w:r>
      <w:r w:rsidRPr="00CE2CD1">
        <w:rPr>
          <w:rFonts w:ascii="Arial" w:hAnsi="Arial" w:cs="Arial"/>
        </w:rPr>
        <w:t xml:space="preserve"> ; SB = 9,74 </w:t>
      </w:r>
      <w:proofErr w:type="spellStart"/>
      <w:r w:rsidRPr="00CE2CD1">
        <w:rPr>
          <w:rFonts w:ascii="Arial" w:hAnsi="Arial" w:cs="Arial"/>
        </w:rPr>
        <w:t>cmol</w:t>
      </w:r>
      <w:r w:rsidRPr="00CE2CD1">
        <w:rPr>
          <w:rFonts w:ascii="Arial" w:hAnsi="Arial" w:cs="Arial"/>
          <w:vertAlign w:val="subscript"/>
        </w:rPr>
        <w:t>c</w:t>
      </w:r>
      <w:proofErr w:type="spellEnd"/>
      <w:r w:rsidRPr="00CE2CD1">
        <w:rPr>
          <w:rFonts w:ascii="Arial" w:hAnsi="Arial" w:cs="Arial"/>
        </w:rPr>
        <w:t xml:space="preserve"> dm</w:t>
      </w:r>
      <w:r w:rsidRPr="00CE2CD1">
        <w:rPr>
          <w:rFonts w:ascii="Arial" w:hAnsi="Arial" w:cs="Arial"/>
          <w:vertAlign w:val="superscript"/>
        </w:rPr>
        <w:t>-3</w:t>
      </w:r>
      <w:r w:rsidRPr="00CE2CD1">
        <w:rPr>
          <w:rFonts w:ascii="Arial" w:hAnsi="Arial" w:cs="Arial"/>
        </w:rPr>
        <w:t xml:space="preserve">; CTC = 12,59 </w:t>
      </w:r>
      <w:proofErr w:type="spellStart"/>
      <w:r w:rsidRPr="00CE2CD1">
        <w:rPr>
          <w:rFonts w:ascii="Arial" w:hAnsi="Arial" w:cs="Arial"/>
        </w:rPr>
        <w:t>cmol</w:t>
      </w:r>
      <w:r w:rsidRPr="00CE2CD1">
        <w:rPr>
          <w:rFonts w:ascii="Arial" w:hAnsi="Arial" w:cs="Arial"/>
          <w:vertAlign w:val="subscript"/>
        </w:rPr>
        <w:t>c</w:t>
      </w:r>
      <w:proofErr w:type="spellEnd"/>
      <w:r w:rsidRPr="00CE2CD1">
        <w:rPr>
          <w:rFonts w:ascii="Arial" w:hAnsi="Arial" w:cs="Arial"/>
        </w:rPr>
        <w:t xml:space="preserve"> dm</w:t>
      </w:r>
      <w:r w:rsidRPr="00CE2CD1">
        <w:rPr>
          <w:rFonts w:ascii="Arial" w:hAnsi="Arial" w:cs="Arial"/>
          <w:vertAlign w:val="superscript"/>
        </w:rPr>
        <w:t>-3</w:t>
      </w:r>
      <w:r w:rsidRPr="00CE2CD1">
        <w:rPr>
          <w:rFonts w:ascii="Arial" w:hAnsi="Arial" w:cs="Arial"/>
        </w:rPr>
        <w:t xml:space="preserve">; </w:t>
      </w:r>
      <w:proofErr w:type="spellStart"/>
      <w:r w:rsidRPr="00CE2CD1">
        <w:rPr>
          <w:rFonts w:ascii="Arial" w:hAnsi="Arial" w:cs="Arial"/>
        </w:rPr>
        <w:t>H+Al</w:t>
      </w:r>
      <w:proofErr w:type="spellEnd"/>
      <w:r w:rsidRPr="00CE2CD1">
        <w:rPr>
          <w:rFonts w:ascii="Arial" w:hAnsi="Arial" w:cs="Arial"/>
        </w:rPr>
        <w:t xml:space="preserve"> = 2,85 </w:t>
      </w:r>
      <w:proofErr w:type="spellStart"/>
      <w:r w:rsidRPr="00CE2CD1">
        <w:rPr>
          <w:rFonts w:ascii="Arial" w:hAnsi="Arial" w:cs="Arial"/>
        </w:rPr>
        <w:t>cmol</w:t>
      </w:r>
      <w:r w:rsidRPr="00CE2CD1">
        <w:rPr>
          <w:rFonts w:ascii="Arial" w:hAnsi="Arial" w:cs="Arial"/>
          <w:vertAlign w:val="subscript"/>
        </w:rPr>
        <w:t>c</w:t>
      </w:r>
      <w:proofErr w:type="spellEnd"/>
      <w:r w:rsidRPr="00CE2CD1">
        <w:rPr>
          <w:rFonts w:ascii="Arial" w:hAnsi="Arial" w:cs="Arial"/>
        </w:rPr>
        <w:t xml:space="preserve"> dm</w:t>
      </w:r>
      <w:r w:rsidRPr="00CE2CD1">
        <w:rPr>
          <w:rFonts w:ascii="Arial" w:hAnsi="Arial" w:cs="Arial"/>
          <w:vertAlign w:val="superscript"/>
        </w:rPr>
        <w:t>-3</w:t>
      </w:r>
      <w:r w:rsidRPr="00CE2CD1">
        <w:rPr>
          <w:rFonts w:ascii="Arial" w:hAnsi="Arial" w:cs="Arial"/>
        </w:rPr>
        <w:t xml:space="preserve"> e V% = 77,36%. O solo da área experimental é classificado como </w:t>
      </w:r>
      <w:proofErr w:type="spellStart"/>
      <w:r w:rsidRPr="00CE2CD1">
        <w:rPr>
          <w:rFonts w:ascii="Arial" w:hAnsi="Arial" w:cs="Arial"/>
        </w:rPr>
        <w:t>L</w:t>
      </w:r>
      <w:r w:rsidR="00390DCB" w:rsidRPr="00CE2CD1">
        <w:rPr>
          <w:rFonts w:ascii="Arial" w:hAnsi="Arial" w:cs="Arial"/>
        </w:rPr>
        <w:t>atossolo</w:t>
      </w:r>
      <w:proofErr w:type="spellEnd"/>
      <w:r w:rsidRPr="00CE2CD1">
        <w:rPr>
          <w:rFonts w:ascii="Arial" w:hAnsi="Arial" w:cs="Arial"/>
        </w:rPr>
        <w:t xml:space="preserve"> V</w:t>
      </w:r>
      <w:r w:rsidR="00390DCB" w:rsidRPr="00CE2CD1">
        <w:rPr>
          <w:rFonts w:ascii="Arial" w:hAnsi="Arial" w:cs="Arial"/>
        </w:rPr>
        <w:t>ermelho</w:t>
      </w:r>
      <w:r w:rsidRPr="00CE2CD1">
        <w:rPr>
          <w:rFonts w:ascii="Arial" w:hAnsi="Arial" w:cs="Arial"/>
        </w:rPr>
        <w:t xml:space="preserve"> </w:t>
      </w:r>
      <w:proofErr w:type="spellStart"/>
      <w:r w:rsidRPr="00CE2CD1">
        <w:rPr>
          <w:rFonts w:ascii="Arial" w:hAnsi="Arial" w:cs="Arial"/>
        </w:rPr>
        <w:t>Eutroférrico</w:t>
      </w:r>
      <w:proofErr w:type="spellEnd"/>
      <w:r w:rsidRPr="00CE2CD1">
        <w:rPr>
          <w:rFonts w:ascii="Arial" w:hAnsi="Arial" w:cs="Arial"/>
        </w:rPr>
        <w:t xml:space="preserve"> de textura argilosa (Embrapa, 2013).</w:t>
      </w:r>
    </w:p>
    <w:p w:rsidR="00390DCB" w:rsidRDefault="00F35087" w:rsidP="00F35087">
      <w:pPr>
        <w:ind w:firstLine="708"/>
        <w:jc w:val="both"/>
        <w:rPr>
          <w:rFonts w:ascii="Arial" w:hAnsi="Arial" w:cs="Arial"/>
        </w:rPr>
      </w:pPr>
      <w:r w:rsidRPr="00A31F61">
        <w:rPr>
          <w:rFonts w:ascii="Arial" w:hAnsi="Arial" w:cs="Arial"/>
        </w:rPr>
        <w:t>O delineamento experimental foi de blocos casualizados,</w:t>
      </w:r>
      <w:r w:rsidR="00E82037">
        <w:rPr>
          <w:rFonts w:ascii="Arial" w:hAnsi="Arial" w:cs="Arial"/>
        </w:rPr>
        <w:t xml:space="preserve"> em esquema fatorial triplo,</w:t>
      </w:r>
      <w:r w:rsidRPr="00A31F61">
        <w:rPr>
          <w:rFonts w:ascii="Arial" w:hAnsi="Arial" w:cs="Arial"/>
        </w:rPr>
        <w:t xml:space="preserve"> com quatro repetições. </w:t>
      </w:r>
      <w:r w:rsidR="00E82037">
        <w:rPr>
          <w:rFonts w:ascii="Arial" w:hAnsi="Arial" w:cs="Arial"/>
        </w:rPr>
        <w:t>S</w:t>
      </w:r>
      <w:r w:rsidRPr="00A31F61">
        <w:rPr>
          <w:rFonts w:ascii="Arial" w:hAnsi="Arial" w:cs="Arial"/>
        </w:rPr>
        <w:t xml:space="preserve">endo </w:t>
      </w:r>
      <w:r w:rsidR="00E82037">
        <w:rPr>
          <w:rFonts w:ascii="Arial" w:hAnsi="Arial" w:cs="Arial"/>
        </w:rPr>
        <w:t xml:space="preserve">os fatores as </w:t>
      </w:r>
      <w:r w:rsidRPr="00A31F61">
        <w:rPr>
          <w:rFonts w:ascii="Arial" w:hAnsi="Arial" w:cs="Arial"/>
        </w:rPr>
        <w:t>épocas de semeadura do rabanete após o transplantio</w:t>
      </w:r>
      <w:r w:rsidR="00E82037">
        <w:rPr>
          <w:rFonts w:ascii="Arial" w:hAnsi="Arial" w:cs="Arial"/>
        </w:rPr>
        <w:t xml:space="preserve"> (DAT)</w:t>
      </w:r>
      <w:r w:rsidRPr="00A31F61">
        <w:rPr>
          <w:rFonts w:ascii="Arial" w:hAnsi="Arial" w:cs="Arial"/>
        </w:rPr>
        <w:t xml:space="preserve"> da alface </w:t>
      </w:r>
      <w:r w:rsidR="00E82037">
        <w:rPr>
          <w:rFonts w:ascii="Arial" w:hAnsi="Arial" w:cs="Arial"/>
        </w:rPr>
        <w:t xml:space="preserve">(0, 7 e 14 DAT), o arranjo das linhas do rabanete (2 e 3 linhas entre a alface) </w:t>
      </w:r>
      <w:r w:rsidRPr="00A31F61">
        <w:rPr>
          <w:rFonts w:ascii="Arial" w:hAnsi="Arial" w:cs="Arial"/>
        </w:rPr>
        <w:t xml:space="preserve">e sistema de </w:t>
      </w:r>
      <w:r w:rsidR="00E82037">
        <w:rPr>
          <w:rFonts w:ascii="Arial" w:hAnsi="Arial" w:cs="Arial"/>
        </w:rPr>
        <w:t>cultivo</w:t>
      </w:r>
      <w:r w:rsidRPr="00A31F61">
        <w:rPr>
          <w:rFonts w:ascii="Arial" w:hAnsi="Arial" w:cs="Arial"/>
        </w:rPr>
        <w:t xml:space="preserve"> </w:t>
      </w:r>
      <w:r w:rsidR="00E82037">
        <w:rPr>
          <w:rFonts w:ascii="Arial" w:hAnsi="Arial" w:cs="Arial"/>
        </w:rPr>
        <w:t>(</w:t>
      </w:r>
      <w:r w:rsidRPr="00A31F61">
        <w:rPr>
          <w:rFonts w:ascii="Arial" w:hAnsi="Arial" w:cs="Arial"/>
        </w:rPr>
        <w:t>consórcio e monocultivo</w:t>
      </w:r>
      <w:r w:rsidR="00E82037">
        <w:rPr>
          <w:rFonts w:ascii="Arial" w:hAnsi="Arial" w:cs="Arial"/>
        </w:rPr>
        <w:t>)</w:t>
      </w:r>
      <w:r w:rsidRPr="00A31F61">
        <w:rPr>
          <w:rFonts w:ascii="Arial" w:hAnsi="Arial" w:cs="Arial"/>
        </w:rPr>
        <w:t>. Monocultivo d</w:t>
      </w:r>
      <w:r w:rsidR="00E82037">
        <w:rPr>
          <w:rFonts w:ascii="Arial" w:hAnsi="Arial" w:cs="Arial"/>
        </w:rPr>
        <w:t>o</w:t>
      </w:r>
      <w:r w:rsidRPr="00A31F61">
        <w:rPr>
          <w:rFonts w:ascii="Arial" w:hAnsi="Arial" w:cs="Arial"/>
        </w:rPr>
        <w:t xml:space="preserve"> rabanete </w:t>
      </w:r>
      <w:r w:rsidR="00E82037">
        <w:rPr>
          <w:rFonts w:ascii="Arial" w:hAnsi="Arial" w:cs="Arial"/>
        </w:rPr>
        <w:t xml:space="preserve">foram </w:t>
      </w:r>
      <w:r w:rsidRPr="00A31F61">
        <w:rPr>
          <w:rFonts w:ascii="Arial" w:hAnsi="Arial" w:cs="Arial"/>
        </w:rPr>
        <w:t>instalados nas mesmas épocas de estabelecimento</w:t>
      </w:r>
      <w:r w:rsidRPr="00F35087">
        <w:rPr>
          <w:rFonts w:ascii="Arial" w:hAnsi="Arial" w:cs="Arial"/>
        </w:rPr>
        <w:t xml:space="preserve"> dos consórcios, </w:t>
      </w:r>
      <w:r w:rsidR="00A31F61" w:rsidRPr="00F35087">
        <w:rPr>
          <w:rFonts w:ascii="Arial" w:hAnsi="Arial" w:cs="Arial"/>
        </w:rPr>
        <w:t>a fim de</w:t>
      </w:r>
      <w:r w:rsidRPr="00F35087">
        <w:rPr>
          <w:rFonts w:ascii="Arial" w:hAnsi="Arial" w:cs="Arial"/>
        </w:rPr>
        <w:t xml:space="preserve"> isolar possível efeito da época de plantio. </w:t>
      </w:r>
    </w:p>
    <w:p w:rsidR="009D6BEF" w:rsidRPr="00CE2CD1" w:rsidRDefault="00390DCB" w:rsidP="00390DCB">
      <w:pPr>
        <w:ind w:firstLine="708"/>
        <w:jc w:val="both"/>
        <w:rPr>
          <w:rFonts w:ascii="Arial" w:hAnsi="Arial" w:cs="Arial"/>
        </w:rPr>
      </w:pPr>
      <w:r w:rsidRPr="00CE2CD1">
        <w:rPr>
          <w:rFonts w:ascii="Arial" w:hAnsi="Arial" w:cs="Arial"/>
        </w:rPr>
        <w:t xml:space="preserve">As cultivares utilizadas foram Itaúna </w:t>
      </w:r>
      <w:proofErr w:type="spellStart"/>
      <w:r w:rsidRPr="00CE2CD1">
        <w:rPr>
          <w:rFonts w:ascii="Arial" w:hAnsi="Arial" w:cs="Arial"/>
        </w:rPr>
        <w:t>Frisée</w:t>
      </w:r>
      <w:proofErr w:type="spellEnd"/>
      <w:r w:rsidRPr="00CE2CD1">
        <w:rPr>
          <w:rFonts w:ascii="Arial" w:hAnsi="Arial" w:cs="Arial"/>
        </w:rPr>
        <w:t xml:space="preserve"> para a alface e Nº 19 pa</w:t>
      </w:r>
      <w:r>
        <w:rPr>
          <w:rFonts w:ascii="Arial" w:hAnsi="Arial" w:cs="Arial"/>
        </w:rPr>
        <w:t xml:space="preserve">ra o rabanete. </w:t>
      </w:r>
      <w:r w:rsidR="00F80945" w:rsidRPr="00CE2CD1">
        <w:rPr>
          <w:rFonts w:ascii="Arial" w:hAnsi="Arial" w:cs="Arial"/>
        </w:rPr>
        <w:t xml:space="preserve">As mudas </w:t>
      </w:r>
      <w:r>
        <w:rPr>
          <w:rFonts w:ascii="Arial" w:hAnsi="Arial" w:cs="Arial"/>
        </w:rPr>
        <w:t xml:space="preserve">da alface </w:t>
      </w:r>
      <w:r w:rsidR="00F80945" w:rsidRPr="00CE2CD1">
        <w:rPr>
          <w:rFonts w:ascii="Arial" w:hAnsi="Arial" w:cs="Arial"/>
        </w:rPr>
        <w:t>foram produzidas em bandejas de poliestireno expandido de 200 células contendo substrato comercial, sendo mantidas em casa de vegetação até possuírem quatro folhas, sendo assim transplantadas ao campo.</w:t>
      </w:r>
      <w:r w:rsidR="00AF5E54">
        <w:rPr>
          <w:rFonts w:ascii="Arial" w:hAnsi="Arial" w:cs="Arial"/>
        </w:rPr>
        <w:t xml:space="preserve"> O espaçamento utilizado para a alface foi de 0,3 x 0,30 m e para o rabanete 0,3 x 0,05m.</w:t>
      </w:r>
      <w:r w:rsidR="00F80945" w:rsidRPr="00CE2CD1">
        <w:rPr>
          <w:rFonts w:ascii="Arial" w:hAnsi="Arial" w:cs="Arial"/>
        </w:rPr>
        <w:t xml:space="preserve"> A adubaç</w:t>
      </w:r>
      <w:r w:rsidR="00E82037">
        <w:rPr>
          <w:rFonts w:ascii="Arial" w:hAnsi="Arial" w:cs="Arial"/>
        </w:rPr>
        <w:t>ão</w:t>
      </w:r>
      <w:r w:rsidR="00F80945" w:rsidRPr="00CE2CD1">
        <w:rPr>
          <w:rFonts w:ascii="Arial" w:hAnsi="Arial" w:cs="Arial"/>
        </w:rPr>
        <w:t xml:space="preserve"> de plantio e de cobertura foram realizadas de acordo com </w:t>
      </w:r>
      <w:proofErr w:type="spellStart"/>
      <w:r w:rsidR="00C77E59">
        <w:rPr>
          <w:rFonts w:ascii="Arial" w:hAnsi="Arial" w:cs="Arial"/>
        </w:rPr>
        <w:t>Raij</w:t>
      </w:r>
      <w:proofErr w:type="spellEnd"/>
      <w:r w:rsidR="00C77E59">
        <w:rPr>
          <w:rFonts w:ascii="Arial" w:hAnsi="Arial" w:cs="Arial"/>
        </w:rPr>
        <w:t xml:space="preserve"> et al. (1997) para a cultura da alface</w:t>
      </w:r>
      <w:r w:rsidR="00C51236">
        <w:rPr>
          <w:rFonts w:ascii="Arial" w:hAnsi="Arial" w:cs="Arial"/>
        </w:rPr>
        <w:t>.</w:t>
      </w:r>
    </w:p>
    <w:p w:rsidR="00F80945" w:rsidRDefault="00F80945" w:rsidP="00F80945">
      <w:pPr>
        <w:ind w:firstLine="709"/>
        <w:contextualSpacing/>
        <w:jc w:val="both"/>
        <w:rPr>
          <w:rFonts w:ascii="Arial" w:hAnsi="Arial" w:cs="Arial"/>
        </w:rPr>
      </w:pPr>
      <w:r w:rsidRPr="00CE2CD1">
        <w:rPr>
          <w:rFonts w:ascii="Arial" w:hAnsi="Arial" w:cs="Arial"/>
        </w:rPr>
        <w:t>A colheita da alface e do rabanete foi realizada aos 42 e 49 DAT, respectivamente. Na alface as características avaliadas foram altura da planta, a partir do nível do solo até a extremidade da fol</w:t>
      </w:r>
      <w:r w:rsidR="00F35087">
        <w:rPr>
          <w:rFonts w:ascii="Arial" w:hAnsi="Arial" w:cs="Arial"/>
        </w:rPr>
        <w:t xml:space="preserve">ha mais alta, numero de folhas, massa fresca da parte aérea e </w:t>
      </w:r>
      <w:r w:rsidR="00083ED0">
        <w:rPr>
          <w:rFonts w:ascii="Arial" w:hAnsi="Arial" w:cs="Arial"/>
        </w:rPr>
        <w:t xml:space="preserve">foi </w:t>
      </w:r>
      <w:r w:rsidR="00F35087">
        <w:rPr>
          <w:rFonts w:ascii="Arial" w:hAnsi="Arial" w:cs="Arial"/>
        </w:rPr>
        <w:t>determinada a produtividade</w:t>
      </w:r>
      <w:r w:rsidR="006E4021">
        <w:rPr>
          <w:rFonts w:ascii="Arial" w:hAnsi="Arial" w:cs="Arial"/>
        </w:rPr>
        <w:t>.</w:t>
      </w:r>
      <w:r w:rsidR="005020D0">
        <w:rPr>
          <w:rFonts w:ascii="Arial" w:hAnsi="Arial" w:cs="Arial"/>
        </w:rPr>
        <w:t xml:space="preserve"> </w:t>
      </w:r>
      <w:r w:rsidRPr="00CE2CD1">
        <w:rPr>
          <w:rFonts w:ascii="Arial" w:hAnsi="Arial" w:cs="Arial"/>
        </w:rPr>
        <w:t>Para a cultura do rabanete as características avaliadas foram altura da planta, diâmetro e comprimento da raiz, massa fresca da raiz e</w:t>
      </w:r>
      <w:r w:rsidR="00083ED0">
        <w:rPr>
          <w:rFonts w:ascii="Arial" w:hAnsi="Arial" w:cs="Arial"/>
        </w:rPr>
        <w:t xml:space="preserve"> foi</w:t>
      </w:r>
      <w:r w:rsidRPr="00CE2CD1">
        <w:rPr>
          <w:rFonts w:ascii="Arial" w:hAnsi="Arial" w:cs="Arial"/>
        </w:rPr>
        <w:t xml:space="preserve"> </w:t>
      </w:r>
      <w:r w:rsidR="00083ED0">
        <w:rPr>
          <w:rFonts w:ascii="Arial" w:hAnsi="Arial" w:cs="Arial"/>
        </w:rPr>
        <w:t>determinada a produtividade</w:t>
      </w:r>
      <w:r w:rsidR="005020D0">
        <w:rPr>
          <w:rFonts w:ascii="Arial" w:hAnsi="Arial" w:cs="Arial"/>
        </w:rPr>
        <w:t>.</w:t>
      </w:r>
    </w:p>
    <w:p w:rsidR="005020D0" w:rsidRPr="00CE2CD1" w:rsidRDefault="005020D0" w:rsidP="005020D0">
      <w:pPr>
        <w:ind w:firstLine="709"/>
        <w:contextualSpacing/>
        <w:jc w:val="both"/>
        <w:rPr>
          <w:rFonts w:ascii="Arial" w:hAnsi="Arial" w:cs="Arial"/>
        </w:rPr>
      </w:pPr>
      <w:r w:rsidRPr="00CE2CD1">
        <w:rPr>
          <w:rFonts w:ascii="Arial" w:hAnsi="Arial" w:cs="Arial"/>
        </w:rPr>
        <w:lastRenderedPageBreak/>
        <w:t>O índice agronômico usado para avaliar a eficiência dos sistemas consorciados foi o índice de uso eficiente da terra (UET). Para este cálculo foi utilizada a fórmula proposta por Beltrão et al. (1984): UET = (</w:t>
      </w:r>
      <w:proofErr w:type="spellStart"/>
      <w:r w:rsidRPr="00CE2CD1">
        <w:rPr>
          <w:rFonts w:ascii="Arial" w:hAnsi="Arial" w:cs="Arial"/>
        </w:rPr>
        <w:t>Yab</w:t>
      </w:r>
      <w:proofErr w:type="spellEnd"/>
      <w:r w:rsidRPr="00CE2CD1">
        <w:rPr>
          <w:rFonts w:ascii="Arial" w:hAnsi="Arial" w:cs="Arial"/>
        </w:rPr>
        <w:t>/</w:t>
      </w:r>
      <w:proofErr w:type="spellStart"/>
      <w:r w:rsidRPr="00CE2CD1">
        <w:rPr>
          <w:rFonts w:ascii="Arial" w:hAnsi="Arial" w:cs="Arial"/>
        </w:rPr>
        <w:t>Yaa</w:t>
      </w:r>
      <w:proofErr w:type="spellEnd"/>
      <w:r w:rsidRPr="00CE2CD1">
        <w:rPr>
          <w:rFonts w:ascii="Arial" w:hAnsi="Arial" w:cs="Arial"/>
        </w:rPr>
        <w:t>) + (</w:t>
      </w:r>
      <w:proofErr w:type="spellStart"/>
      <w:r w:rsidRPr="00CE2CD1">
        <w:rPr>
          <w:rFonts w:ascii="Arial" w:hAnsi="Arial" w:cs="Arial"/>
        </w:rPr>
        <w:t>Yba</w:t>
      </w:r>
      <w:proofErr w:type="spellEnd"/>
      <w:r w:rsidRPr="00CE2CD1">
        <w:rPr>
          <w:rFonts w:ascii="Arial" w:hAnsi="Arial" w:cs="Arial"/>
        </w:rPr>
        <w:t>/</w:t>
      </w:r>
      <w:proofErr w:type="spellStart"/>
      <w:r w:rsidRPr="00CE2CD1">
        <w:rPr>
          <w:rFonts w:ascii="Arial" w:hAnsi="Arial" w:cs="Arial"/>
        </w:rPr>
        <w:t>Ybb</w:t>
      </w:r>
      <w:proofErr w:type="spellEnd"/>
      <w:r w:rsidRPr="00CE2CD1">
        <w:rPr>
          <w:rFonts w:ascii="Arial" w:hAnsi="Arial" w:cs="Arial"/>
        </w:rPr>
        <w:t xml:space="preserve">), onde, </w:t>
      </w:r>
      <w:proofErr w:type="spellStart"/>
      <w:r w:rsidRPr="00CE2CD1">
        <w:rPr>
          <w:rFonts w:ascii="Arial" w:hAnsi="Arial" w:cs="Arial"/>
        </w:rPr>
        <w:t>Yab</w:t>
      </w:r>
      <w:proofErr w:type="spellEnd"/>
      <w:r w:rsidRPr="00CE2CD1">
        <w:rPr>
          <w:rFonts w:ascii="Arial" w:hAnsi="Arial" w:cs="Arial"/>
        </w:rPr>
        <w:t xml:space="preserve"> é a produtividade da cultura “a” em consórcio com a cultura “b”; </w:t>
      </w:r>
      <w:proofErr w:type="spellStart"/>
      <w:r w:rsidRPr="00CE2CD1">
        <w:rPr>
          <w:rFonts w:ascii="Arial" w:hAnsi="Arial" w:cs="Arial"/>
        </w:rPr>
        <w:t>Yba</w:t>
      </w:r>
      <w:proofErr w:type="spellEnd"/>
      <w:r w:rsidRPr="00CE2CD1">
        <w:rPr>
          <w:rFonts w:ascii="Arial" w:hAnsi="Arial" w:cs="Arial"/>
        </w:rPr>
        <w:t xml:space="preserve"> é a produtividade da cultura “b” em consórcio com a cultura “a”; </w:t>
      </w:r>
      <w:proofErr w:type="spellStart"/>
      <w:r w:rsidRPr="00CE2CD1">
        <w:rPr>
          <w:rFonts w:ascii="Arial" w:hAnsi="Arial" w:cs="Arial"/>
        </w:rPr>
        <w:t>Yaa</w:t>
      </w:r>
      <w:proofErr w:type="spellEnd"/>
      <w:r w:rsidRPr="00CE2CD1">
        <w:rPr>
          <w:rFonts w:ascii="Arial" w:hAnsi="Arial" w:cs="Arial"/>
        </w:rPr>
        <w:t xml:space="preserve"> é a produtividade da cultura “a” em monocultura e </w:t>
      </w:r>
      <w:proofErr w:type="spellStart"/>
      <w:r w:rsidRPr="00CE2CD1">
        <w:rPr>
          <w:rFonts w:ascii="Arial" w:hAnsi="Arial" w:cs="Arial"/>
        </w:rPr>
        <w:t>Ybb</w:t>
      </w:r>
      <w:proofErr w:type="spellEnd"/>
      <w:r w:rsidRPr="00CE2CD1">
        <w:rPr>
          <w:rFonts w:ascii="Arial" w:hAnsi="Arial" w:cs="Arial"/>
        </w:rPr>
        <w:t xml:space="preserve"> é a produtividade da cultura “b” em monocultura. Para o cálculo do índice foram utilizadas as produtividades expressas em t ha</w:t>
      </w:r>
      <w:r w:rsidRPr="00CE2CD1">
        <w:rPr>
          <w:rFonts w:ascii="Arial" w:hAnsi="Arial" w:cs="Arial"/>
          <w:vertAlign w:val="superscript"/>
        </w:rPr>
        <w:t>-1</w:t>
      </w:r>
      <w:r w:rsidRPr="00CE2CD1">
        <w:rPr>
          <w:rFonts w:ascii="Arial" w:hAnsi="Arial" w:cs="Arial"/>
        </w:rPr>
        <w:t>.</w:t>
      </w:r>
    </w:p>
    <w:p w:rsidR="00F80945" w:rsidRPr="00CE2CD1" w:rsidRDefault="00F80945" w:rsidP="00F80945">
      <w:pPr>
        <w:ind w:firstLine="709"/>
        <w:contextualSpacing/>
        <w:jc w:val="both"/>
        <w:rPr>
          <w:rFonts w:ascii="Arial" w:hAnsi="Arial" w:cs="Arial"/>
        </w:rPr>
      </w:pPr>
      <w:r w:rsidRPr="00CE2CD1">
        <w:rPr>
          <w:rFonts w:ascii="Arial" w:hAnsi="Arial" w:cs="Arial"/>
        </w:rPr>
        <w:t xml:space="preserve">Os dados experimentais foram submetidos à analises de variâncias e as médias comparadas pelo teste de </w:t>
      </w:r>
      <w:proofErr w:type="spellStart"/>
      <w:r w:rsidRPr="00CE2CD1">
        <w:rPr>
          <w:rFonts w:ascii="Arial" w:hAnsi="Arial" w:cs="Arial"/>
        </w:rPr>
        <w:t>Tukey</w:t>
      </w:r>
      <w:proofErr w:type="spellEnd"/>
      <w:r w:rsidRPr="00CE2CD1">
        <w:rPr>
          <w:rFonts w:ascii="Arial" w:hAnsi="Arial" w:cs="Arial"/>
        </w:rPr>
        <w:t xml:space="preserve"> a 5%. </w:t>
      </w:r>
    </w:p>
    <w:p w:rsidR="00F80945" w:rsidRPr="00CE2CD1" w:rsidRDefault="00F80945" w:rsidP="00F80945">
      <w:pPr>
        <w:jc w:val="both"/>
        <w:rPr>
          <w:rFonts w:ascii="Arial" w:hAnsi="Arial" w:cs="Arial"/>
        </w:rPr>
      </w:pPr>
    </w:p>
    <w:p w:rsidR="00F80945" w:rsidRPr="00CE2CD1" w:rsidRDefault="00F80945" w:rsidP="00F80945">
      <w:pPr>
        <w:jc w:val="both"/>
        <w:rPr>
          <w:rFonts w:ascii="Arial" w:hAnsi="Arial" w:cs="Arial"/>
        </w:rPr>
      </w:pPr>
      <w:r w:rsidRPr="00CE2CD1">
        <w:rPr>
          <w:rFonts w:ascii="Arial" w:hAnsi="Arial" w:cs="Arial"/>
          <w:b/>
        </w:rPr>
        <w:t>Resultados e Discussão</w:t>
      </w:r>
    </w:p>
    <w:p w:rsidR="00F80945" w:rsidRPr="00CE2CD1" w:rsidRDefault="00F80945" w:rsidP="00F80945">
      <w:pPr>
        <w:jc w:val="both"/>
        <w:rPr>
          <w:rFonts w:ascii="Arial" w:hAnsi="Arial" w:cs="Arial"/>
        </w:rPr>
      </w:pPr>
    </w:p>
    <w:p w:rsidR="00F80945" w:rsidRPr="006A0D8C" w:rsidRDefault="00F80945" w:rsidP="00F80945">
      <w:pPr>
        <w:ind w:firstLine="708"/>
        <w:jc w:val="both"/>
        <w:rPr>
          <w:rFonts w:ascii="Arial" w:hAnsi="Arial" w:cs="Arial"/>
        </w:rPr>
      </w:pPr>
      <w:r w:rsidRPr="006A0D8C">
        <w:rPr>
          <w:rFonts w:ascii="Arial" w:hAnsi="Arial" w:cs="Arial"/>
        </w:rPr>
        <w:t xml:space="preserve">Para a cultura da alface não </w:t>
      </w:r>
      <w:r w:rsidR="00AC5FF8">
        <w:rPr>
          <w:rFonts w:ascii="Arial" w:hAnsi="Arial" w:cs="Arial"/>
        </w:rPr>
        <w:t>houve interação</w:t>
      </w:r>
      <w:r w:rsidRPr="006A0D8C">
        <w:rPr>
          <w:rFonts w:ascii="Arial" w:hAnsi="Arial" w:cs="Arial"/>
        </w:rPr>
        <w:t xml:space="preserve"> entre épocas de estabelecimento</w:t>
      </w:r>
      <w:r w:rsidR="00254BC6">
        <w:rPr>
          <w:rFonts w:ascii="Arial" w:hAnsi="Arial" w:cs="Arial"/>
        </w:rPr>
        <w:t xml:space="preserve"> do rabanete</w:t>
      </w:r>
      <w:r w:rsidR="00AC5FF8">
        <w:rPr>
          <w:rFonts w:ascii="Arial" w:hAnsi="Arial" w:cs="Arial"/>
        </w:rPr>
        <w:t>,</w:t>
      </w:r>
      <w:r w:rsidRPr="006A0D8C">
        <w:rPr>
          <w:rFonts w:ascii="Arial" w:hAnsi="Arial" w:cs="Arial"/>
        </w:rPr>
        <w:t xml:space="preserve"> arranjo</w:t>
      </w:r>
      <w:r w:rsidR="00AC5FF8">
        <w:rPr>
          <w:rFonts w:ascii="Arial" w:hAnsi="Arial" w:cs="Arial"/>
        </w:rPr>
        <w:t xml:space="preserve"> e sistema de cultivo</w:t>
      </w:r>
      <w:r w:rsidR="009D6BEF">
        <w:rPr>
          <w:rFonts w:ascii="Arial" w:hAnsi="Arial" w:cs="Arial"/>
        </w:rPr>
        <w:t>, desta forma as características foram avaliadas isoladamente.</w:t>
      </w:r>
      <w:r w:rsidRPr="006A0D8C">
        <w:rPr>
          <w:rFonts w:ascii="Arial" w:hAnsi="Arial" w:cs="Arial"/>
        </w:rPr>
        <w:t xml:space="preserve"> (Tabela 1).</w:t>
      </w:r>
    </w:p>
    <w:p w:rsidR="00F80945" w:rsidRPr="006A0D8C" w:rsidRDefault="00F80945" w:rsidP="00F80945">
      <w:pPr>
        <w:ind w:firstLine="708"/>
        <w:jc w:val="both"/>
        <w:rPr>
          <w:rFonts w:ascii="Arial" w:hAnsi="Arial" w:cs="Arial"/>
        </w:rPr>
      </w:pPr>
      <w:r w:rsidRPr="006A0D8C">
        <w:rPr>
          <w:rFonts w:ascii="Arial" w:hAnsi="Arial" w:cs="Arial"/>
        </w:rPr>
        <w:t xml:space="preserve">A característica de massa fresca da parte aérea </w:t>
      </w:r>
      <w:r w:rsidR="00DB02D9">
        <w:rPr>
          <w:rFonts w:ascii="Arial" w:hAnsi="Arial" w:cs="Arial"/>
        </w:rPr>
        <w:t xml:space="preserve">da alface </w:t>
      </w:r>
      <w:r w:rsidRPr="006A0D8C">
        <w:rPr>
          <w:rFonts w:ascii="Arial" w:hAnsi="Arial" w:cs="Arial"/>
        </w:rPr>
        <w:t>não foi influenciada pelos sistemas de cultivo. Resultados semelhantes foram observados por Costa et al. (2007) trabalhando com consórcios entre alface e rúcula.</w:t>
      </w:r>
    </w:p>
    <w:p w:rsidR="00F80945" w:rsidRPr="006A0D8C" w:rsidRDefault="00F80945" w:rsidP="00F80945">
      <w:pPr>
        <w:ind w:firstLine="708"/>
        <w:jc w:val="both"/>
        <w:rPr>
          <w:rFonts w:ascii="Arial" w:hAnsi="Arial" w:cs="Arial"/>
        </w:rPr>
      </w:pPr>
      <w:r w:rsidRPr="006A0D8C">
        <w:rPr>
          <w:rFonts w:ascii="Arial" w:hAnsi="Arial" w:cs="Arial"/>
        </w:rPr>
        <w:t xml:space="preserve">Para rabanete foi verificado diferença estatística significativa para as características Altura de planta (AP) e Comprimento de raiz (CR), não havendo interação entre sistema de produção, época de estabelecimento da cultura e arranjo (Tabela 1). </w:t>
      </w:r>
    </w:p>
    <w:p w:rsidR="00F80945" w:rsidRDefault="00F80945" w:rsidP="00A32279">
      <w:pPr>
        <w:ind w:firstLine="708"/>
        <w:jc w:val="both"/>
        <w:rPr>
          <w:rFonts w:ascii="Arial" w:hAnsi="Arial" w:cs="Arial"/>
        </w:rPr>
      </w:pPr>
      <w:r w:rsidRPr="006A0D8C">
        <w:rPr>
          <w:rFonts w:ascii="Arial" w:hAnsi="Arial" w:cs="Arial"/>
        </w:rPr>
        <w:t>Para altura de planta, as semeaduras de rabanete realizadas aos 0 e 14 dias após o transplante da alface não diferiram entre si. Porém, a semeadura realizada aos 14 dias após o transplante da alface obteve melhor média quando comparada a semeadura realizada aos 7 dias.</w:t>
      </w:r>
      <w:r w:rsidR="009C5C32">
        <w:rPr>
          <w:rFonts w:ascii="Arial" w:hAnsi="Arial" w:cs="Arial"/>
        </w:rPr>
        <w:t xml:space="preserve"> </w:t>
      </w:r>
      <w:r w:rsidR="000005D1">
        <w:rPr>
          <w:rFonts w:ascii="Arial" w:hAnsi="Arial" w:cs="Arial"/>
        </w:rPr>
        <w:t xml:space="preserve">O maior </w:t>
      </w:r>
      <w:r w:rsidR="007F7149">
        <w:rPr>
          <w:rFonts w:ascii="Arial" w:hAnsi="Arial" w:cs="Arial"/>
        </w:rPr>
        <w:t>comprimento de raiz se deu</w:t>
      </w:r>
      <w:r w:rsidRPr="006A0D8C">
        <w:rPr>
          <w:rFonts w:ascii="Arial" w:hAnsi="Arial" w:cs="Arial"/>
        </w:rPr>
        <w:t xml:space="preserve"> </w:t>
      </w:r>
      <w:r w:rsidR="000005D1">
        <w:rPr>
          <w:rFonts w:ascii="Arial" w:hAnsi="Arial" w:cs="Arial"/>
        </w:rPr>
        <w:t>aos 7 DAT</w:t>
      </w:r>
      <w:r w:rsidRPr="006A0D8C">
        <w:rPr>
          <w:rFonts w:ascii="Arial" w:hAnsi="Arial" w:cs="Arial"/>
        </w:rPr>
        <w:t xml:space="preserve"> da alface. </w:t>
      </w:r>
      <w:r w:rsidR="009C5C32">
        <w:rPr>
          <w:rFonts w:ascii="Arial" w:hAnsi="Arial" w:cs="Arial"/>
        </w:rPr>
        <w:t xml:space="preserve">Provavelmente, os resultados </w:t>
      </w:r>
      <w:r w:rsidR="007F7149">
        <w:rPr>
          <w:rFonts w:ascii="Arial" w:hAnsi="Arial" w:cs="Arial"/>
        </w:rPr>
        <w:t>observados nessas duas características do rabanete podem ser atribuídos ao menor</w:t>
      </w:r>
      <w:r w:rsidR="009C5C32">
        <w:rPr>
          <w:rFonts w:ascii="Arial" w:hAnsi="Arial" w:cs="Arial"/>
        </w:rPr>
        <w:t xml:space="preserve"> estresse das plantas de rabanete em seu estágio inicial de desenvolvimento, proporcionado possivelmente pela maior cobertura do solo pela alface em consórcio. </w:t>
      </w:r>
    </w:p>
    <w:p w:rsidR="00712384" w:rsidRPr="006A0D8C" w:rsidRDefault="00712384" w:rsidP="00712384">
      <w:pPr>
        <w:ind w:firstLine="708"/>
        <w:jc w:val="both"/>
        <w:rPr>
          <w:rFonts w:ascii="Arial" w:hAnsi="Arial" w:cs="Arial"/>
        </w:rPr>
      </w:pPr>
      <w:r w:rsidRPr="006A0D8C">
        <w:rPr>
          <w:rFonts w:ascii="Arial" w:hAnsi="Arial" w:cs="Arial"/>
        </w:rPr>
        <w:t>Independente do arranjo entre linhas, d</w:t>
      </w:r>
      <w:r>
        <w:rPr>
          <w:rFonts w:ascii="Arial" w:hAnsi="Arial" w:cs="Arial"/>
        </w:rPr>
        <w:t>a</w:t>
      </w:r>
      <w:r w:rsidRPr="006A0D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época</w:t>
      </w:r>
      <w:r w:rsidRPr="006A0D8C">
        <w:rPr>
          <w:rFonts w:ascii="Arial" w:hAnsi="Arial" w:cs="Arial"/>
        </w:rPr>
        <w:t xml:space="preserve"> de semeadura do rabanete em relação ao </w:t>
      </w:r>
      <w:proofErr w:type="spellStart"/>
      <w:r w:rsidRPr="006A0D8C">
        <w:rPr>
          <w:rFonts w:ascii="Arial" w:hAnsi="Arial" w:cs="Arial"/>
        </w:rPr>
        <w:t>transplantio</w:t>
      </w:r>
      <w:proofErr w:type="spellEnd"/>
      <w:r w:rsidRPr="006A0D8C">
        <w:rPr>
          <w:rFonts w:ascii="Arial" w:hAnsi="Arial" w:cs="Arial"/>
        </w:rPr>
        <w:t xml:space="preserve"> da alface e do sistema de produção todos os índices de </w:t>
      </w:r>
      <w:r>
        <w:rPr>
          <w:rFonts w:ascii="Arial" w:hAnsi="Arial" w:cs="Arial"/>
        </w:rPr>
        <w:t>u</w:t>
      </w:r>
      <w:r w:rsidRPr="006A0D8C">
        <w:rPr>
          <w:rFonts w:ascii="Arial" w:hAnsi="Arial" w:cs="Arial"/>
        </w:rPr>
        <w:t xml:space="preserve">so </w:t>
      </w:r>
      <w:r>
        <w:rPr>
          <w:rFonts w:ascii="Arial" w:hAnsi="Arial" w:cs="Arial"/>
        </w:rPr>
        <w:t>e</w:t>
      </w:r>
      <w:r w:rsidRPr="006A0D8C">
        <w:rPr>
          <w:rFonts w:ascii="Arial" w:hAnsi="Arial" w:cs="Arial"/>
        </w:rPr>
        <w:t xml:space="preserve">ficiente da </w:t>
      </w:r>
      <w:r>
        <w:rPr>
          <w:rFonts w:ascii="Arial" w:hAnsi="Arial" w:cs="Arial"/>
        </w:rPr>
        <w:t>t</w:t>
      </w:r>
      <w:r w:rsidRPr="006A0D8C">
        <w:rPr>
          <w:rFonts w:ascii="Arial" w:hAnsi="Arial" w:cs="Arial"/>
        </w:rPr>
        <w:t xml:space="preserve">erra (UET) foram maiores do que 1,0 (Tabela 2), demonstrando a vantagem do consórcio em relação ao monocultivo para a produção de alimentos por unidade de área. O maior índice de uso eficiente da terra foi obtido para o consórcio estabelecido a 7 dias após o </w:t>
      </w:r>
      <w:proofErr w:type="spellStart"/>
      <w:r w:rsidRPr="006A0D8C">
        <w:rPr>
          <w:rFonts w:ascii="Arial" w:hAnsi="Arial" w:cs="Arial"/>
        </w:rPr>
        <w:t>transplantio</w:t>
      </w:r>
      <w:proofErr w:type="spellEnd"/>
      <w:r w:rsidRPr="006A0D8C">
        <w:rPr>
          <w:rFonts w:ascii="Arial" w:hAnsi="Arial" w:cs="Arial"/>
        </w:rPr>
        <w:t xml:space="preserve"> da alface no arranjo 2 (Tabela 2)</w:t>
      </w:r>
      <w:r>
        <w:rPr>
          <w:rFonts w:ascii="Arial" w:hAnsi="Arial" w:cs="Arial"/>
        </w:rPr>
        <w:t>. Isso significa que são necessariamente 73% a mais de área para que as culturas em monocultivo produzam o equivalente à produção dessas consorciadas.</w:t>
      </w:r>
      <w:r w:rsidRPr="006A0D8C">
        <w:rPr>
          <w:rFonts w:ascii="Arial" w:hAnsi="Arial" w:cs="Arial"/>
        </w:rPr>
        <w:t xml:space="preserve"> </w:t>
      </w:r>
    </w:p>
    <w:p w:rsidR="00F80945" w:rsidRPr="006A2F86" w:rsidRDefault="00F80945" w:rsidP="00F80945">
      <w:pPr>
        <w:jc w:val="both"/>
        <w:rPr>
          <w:rFonts w:ascii="Arial" w:hAnsi="Arial" w:cs="Arial"/>
          <w:sz w:val="20"/>
          <w:szCs w:val="20"/>
        </w:rPr>
      </w:pPr>
      <w:r w:rsidRPr="006A2F86">
        <w:rPr>
          <w:rFonts w:ascii="Arial" w:hAnsi="Arial" w:cs="Arial"/>
          <w:b/>
          <w:sz w:val="20"/>
          <w:szCs w:val="20"/>
        </w:rPr>
        <w:t>Tabela 1.</w:t>
      </w:r>
      <w:r w:rsidRPr="006A2F86">
        <w:rPr>
          <w:rFonts w:ascii="Arial" w:hAnsi="Arial" w:cs="Arial"/>
          <w:sz w:val="20"/>
          <w:szCs w:val="20"/>
        </w:rPr>
        <w:t xml:space="preserve"> Altura de plantas (AP), número de folhas (NF) e massa fresca da parte aérea (MFPA) da alface, e altura de plantas (AP), diâmetro da raiz (DR), comprimento da raiz (CR) e massa fresca da </w:t>
      </w:r>
      <w:r w:rsidRPr="006A2F86">
        <w:rPr>
          <w:rFonts w:ascii="Arial" w:hAnsi="Arial" w:cs="Arial"/>
          <w:sz w:val="20"/>
          <w:szCs w:val="20"/>
        </w:rPr>
        <w:lastRenderedPageBreak/>
        <w:t>raiz (MFR) do rabanete</w:t>
      </w:r>
      <w:r w:rsidR="00013164">
        <w:rPr>
          <w:rFonts w:ascii="Arial" w:hAnsi="Arial" w:cs="Arial"/>
          <w:sz w:val="20"/>
          <w:szCs w:val="20"/>
        </w:rPr>
        <w:t>, em função dos</w:t>
      </w:r>
      <w:r w:rsidRPr="006A2F86">
        <w:rPr>
          <w:rFonts w:ascii="Arial" w:hAnsi="Arial" w:cs="Arial"/>
          <w:sz w:val="20"/>
          <w:szCs w:val="20"/>
        </w:rPr>
        <w:t xml:space="preserve"> arranjos</w:t>
      </w:r>
      <w:r w:rsidR="00013164">
        <w:rPr>
          <w:rFonts w:ascii="Arial" w:hAnsi="Arial" w:cs="Arial"/>
          <w:sz w:val="20"/>
          <w:szCs w:val="20"/>
        </w:rPr>
        <w:t xml:space="preserve">, </w:t>
      </w:r>
      <w:r w:rsidRPr="006A2F86">
        <w:rPr>
          <w:rFonts w:ascii="Arial" w:hAnsi="Arial" w:cs="Arial"/>
          <w:sz w:val="20"/>
          <w:szCs w:val="20"/>
        </w:rPr>
        <w:t>épocas de transplante do rabanete e em cultivo solteiro e em consórcio.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95"/>
        <w:gridCol w:w="1155"/>
        <w:gridCol w:w="1155"/>
        <w:gridCol w:w="1155"/>
        <w:gridCol w:w="1157"/>
        <w:gridCol w:w="1157"/>
        <w:gridCol w:w="1157"/>
        <w:gridCol w:w="1155"/>
      </w:tblGrid>
      <w:tr w:rsidR="00F80945" w:rsidTr="001D5553">
        <w:tc>
          <w:tcPr>
            <w:tcW w:w="643" w:type="pct"/>
            <w:vMerge w:val="restart"/>
            <w:tcBorders>
              <w:left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pct"/>
            <w:gridSpan w:val="3"/>
            <w:tcBorders>
              <w:left w:val="nil"/>
              <w:right w:val="nil"/>
            </w:tcBorders>
          </w:tcPr>
          <w:p w:rsidR="00200026" w:rsidRDefault="00F80945">
            <w:pPr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Alface</w:t>
            </w:r>
          </w:p>
        </w:tc>
        <w:tc>
          <w:tcPr>
            <w:tcW w:w="2490" w:type="pct"/>
            <w:gridSpan w:val="4"/>
            <w:tcBorders>
              <w:left w:val="nil"/>
              <w:right w:val="nil"/>
            </w:tcBorders>
          </w:tcPr>
          <w:p w:rsidR="00200026" w:rsidRDefault="00F80945">
            <w:pPr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Rabanete</w:t>
            </w:r>
          </w:p>
        </w:tc>
      </w:tr>
      <w:tr w:rsidR="00F80945" w:rsidTr="00780A30">
        <w:tc>
          <w:tcPr>
            <w:tcW w:w="643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pct"/>
            <w:tcBorders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AP (cm)</w:t>
            </w:r>
          </w:p>
        </w:tc>
        <w:tc>
          <w:tcPr>
            <w:tcW w:w="622" w:type="pct"/>
            <w:tcBorders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NF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MFPA(g)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AP (cm)</w:t>
            </w: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DR (mm)</w:t>
            </w: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CR (mm)</w:t>
            </w: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MFR(g)</w:t>
            </w:r>
          </w:p>
        </w:tc>
      </w:tr>
      <w:tr w:rsidR="00F80945" w:rsidTr="001D5553">
        <w:tc>
          <w:tcPr>
            <w:tcW w:w="643" w:type="pct"/>
            <w:tcBorders>
              <w:left w:val="nil"/>
              <w:bottom w:val="nil"/>
              <w:right w:val="nil"/>
            </w:tcBorders>
          </w:tcPr>
          <w:p w:rsidR="00F80945" w:rsidRPr="00386CE7" w:rsidRDefault="00F80945" w:rsidP="00F57ED3">
            <w:pPr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Consórcio</w:t>
            </w:r>
          </w:p>
        </w:tc>
        <w:tc>
          <w:tcPr>
            <w:tcW w:w="622" w:type="pct"/>
            <w:tcBorders>
              <w:left w:val="nil"/>
              <w:bottom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17,18</w:t>
            </w:r>
          </w:p>
        </w:tc>
        <w:tc>
          <w:tcPr>
            <w:tcW w:w="622" w:type="pct"/>
            <w:tcBorders>
              <w:left w:val="nil"/>
              <w:bottom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21,25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139,43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19,76</w:t>
            </w:r>
          </w:p>
        </w:tc>
        <w:tc>
          <w:tcPr>
            <w:tcW w:w="623" w:type="pct"/>
            <w:tcBorders>
              <w:left w:val="nil"/>
              <w:bottom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39,48</w:t>
            </w:r>
          </w:p>
        </w:tc>
        <w:tc>
          <w:tcPr>
            <w:tcW w:w="623" w:type="pct"/>
            <w:tcBorders>
              <w:left w:val="nil"/>
              <w:bottom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48,27</w:t>
            </w:r>
          </w:p>
        </w:tc>
        <w:tc>
          <w:tcPr>
            <w:tcW w:w="623" w:type="pct"/>
            <w:tcBorders>
              <w:left w:val="nil"/>
              <w:bottom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37,64</w:t>
            </w:r>
          </w:p>
        </w:tc>
      </w:tr>
      <w:tr w:rsidR="00F80945" w:rsidTr="001D5553">
        <w:tc>
          <w:tcPr>
            <w:tcW w:w="643" w:type="pct"/>
            <w:tcBorders>
              <w:top w:val="nil"/>
              <w:left w:val="nil"/>
              <w:right w:val="nil"/>
            </w:tcBorders>
          </w:tcPr>
          <w:p w:rsidR="00F80945" w:rsidRPr="00386CE7" w:rsidRDefault="00F80945" w:rsidP="00F57ED3">
            <w:pPr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Solteiro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17,20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126,35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20,25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39,42</w:t>
            </w:r>
          </w:p>
        </w:tc>
        <w:tc>
          <w:tcPr>
            <w:tcW w:w="623" w:type="pct"/>
            <w:tcBorders>
              <w:top w:val="nil"/>
              <w:left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46,52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34,91</w:t>
            </w:r>
          </w:p>
        </w:tc>
      </w:tr>
      <w:tr w:rsidR="00F80945" w:rsidTr="001D5553">
        <w:tc>
          <w:tcPr>
            <w:tcW w:w="643" w:type="pct"/>
            <w:tcBorders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DMS</w:t>
            </w:r>
          </w:p>
        </w:tc>
        <w:tc>
          <w:tcPr>
            <w:tcW w:w="622" w:type="pct"/>
            <w:tcBorders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22" w:type="pct"/>
            <w:tcBorders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1,53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23,57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1,37</w:t>
            </w: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2,02</w:t>
            </w: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3,47</w:t>
            </w: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7,22</w:t>
            </w:r>
          </w:p>
        </w:tc>
      </w:tr>
      <w:tr w:rsidR="00F80945" w:rsidTr="001D5553">
        <w:tc>
          <w:tcPr>
            <w:tcW w:w="643" w:type="pct"/>
            <w:tcBorders>
              <w:left w:val="nil"/>
              <w:bottom w:val="nil"/>
              <w:right w:val="nil"/>
            </w:tcBorders>
          </w:tcPr>
          <w:p w:rsidR="00F80945" w:rsidRPr="00386CE7" w:rsidRDefault="00F80945" w:rsidP="00F57ED3">
            <w:pPr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Arranjo 1</w:t>
            </w:r>
          </w:p>
        </w:tc>
        <w:tc>
          <w:tcPr>
            <w:tcW w:w="622" w:type="pct"/>
            <w:tcBorders>
              <w:left w:val="nil"/>
              <w:bottom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17,2</w:t>
            </w:r>
          </w:p>
        </w:tc>
        <w:tc>
          <w:tcPr>
            <w:tcW w:w="622" w:type="pct"/>
            <w:tcBorders>
              <w:left w:val="nil"/>
              <w:bottom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21,21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20,16</w:t>
            </w:r>
          </w:p>
        </w:tc>
        <w:tc>
          <w:tcPr>
            <w:tcW w:w="623" w:type="pct"/>
            <w:tcBorders>
              <w:left w:val="nil"/>
              <w:bottom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  <w:tc>
          <w:tcPr>
            <w:tcW w:w="623" w:type="pct"/>
            <w:tcBorders>
              <w:left w:val="nil"/>
              <w:bottom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48,18</w:t>
            </w:r>
          </w:p>
        </w:tc>
        <w:tc>
          <w:tcPr>
            <w:tcW w:w="623" w:type="pct"/>
            <w:tcBorders>
              <w:left w:val="nil"/>
              <w:bottom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36,79</w:t>
            </w:r>
          </w:p>
        </w:tc>
      </w:tr>
      <w:tr w:rsidR="00F80945" w:rsidTr="001D5553">
        <w:tc>
          <w:tcPr>
            <w:tcW w:w="643" w:type="pct"/>
            <w:tcBorders>
              <w:top w:val="nil"/>
              <w:left w:val="nil"/>
              <w:right w:val="nil"/>
            </w:tcBorders>
          </w:tcPr>
          <w:p w:rsidR="00F80945" w:rsidRPr="00386CE7" w:rsidRDefault="00F80945" w:rsidP="00F57ED3">
            <w:pPr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Arranjo 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17,18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20,54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140,77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1,37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39,26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46,61</w:t>
            </w:r>
          </w:p>
        </w:tc>
        <w:tc>
          <w:tcPr>
            <w:tcW w:w="623" w:type="pct"/>
            <w:tcBorders>
              <w:top w:val="nil"/>
              <w:left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35,76</w:t>
            </w:r>
          </w:p>
        </w:tc>
      </w:tr>
      <w:tr w:rsidR="00F80945" w:rsidTr="001D5553">
        <w:tc>
          <w:tcPr>
            <w:tcW w:w="643" w:type="pct"/>
            <w:tcBorders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DMS</w:t>
            </w:r>
          </w:p>
        </w:tc>
        <w:tc>
          <w:tcPr>
            <w:tcW w:w="622" w:type="pct"/>
            <w:tcBorders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622" w:type="pct"/>
            <w:tcBorders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1,53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23,58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20,16</w:t>
            </w: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2,02</w:t>
            </w: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3,47</w:t>
            </w: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7,22</w:t>
            </w:r>
          </w:p>
        </w:tc>
      </w:tr>
      <w:tr w:rsidR="00F80945" w:rsidTr="001D5553">
        <w:tc>
          <w:tcPr>
            <w:tcW w:w="643" w:type="pct"/>
            <w:tcBorders>
              <w:left w:val="nil"/>
              <w:bottom w:val="nil"/>
              <w:right w:val="nil"/>
            </w:tcBorders>
          </w:tcPr>
          <w:p w:rsidR="00F80945" w:rsidRPr="00386CE7" w:rsidRDefault="00F80945" w:rsidP="00F57ED3">
            <w:pPr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0 DAT¹</w:t>
            </w:r>
          </w:p>
        </w:tc>
        <w:tc>
          <w:tcPr>
            <w:tcW w:w="622" w:type="pct"/>
            <w:tcBorders>
              <w:left w:val="nil"/>
              <w:bottom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17,03</w:t>
            </w:r>
          </w:p>
        </w:tc>
        <w:tc>
          <w:tcPr>
            <w:tcW w:w="622" w:type="pct"/>
            <w:tcBorders>
              <w:left w:val="nil"/>
              <w:bottom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133,86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19,67 ab</w:t>
            </w:r>
          </w:p>
        </w:tc>
        <w:tc>
          <w:tcPr>
            <w:tcW w:w="623" w:type="pct"/>
            <w:tcBorders>
              <w:left w:val="nil"/>
              <w:bottom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38,71</w:t>
            </w:r>
          </w:p>
        </w:tc>
        <w:tc>
          <w:tcPr>
            <w:tcW w:w="623" w:type="pct"/>
            <w:tcBorders>
              <w:left w:val="nil"/>
              <w:bottom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44,18 b</w:t>
            </w:r>
          </w:p>
        </w:tc>
        <w:tc>
          <w:tcPr>
            <w:tcW w:w="623" w:type="pct"/>
            <w:tcBorders>
              <w:left w:val="nil"/>
              <w:bottom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34,98</w:t>
            </w:r>
          </w:p>
        </w:tc>
      </w:tr>
      <w:tr w:rsidR="00F80945" w:rsidTr="001D5553"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</w:tcPr>
          <w:p w:rsidR="00F80945" w:rsidRPr="00386CE7" w:rsidRDefault="00F80945" w:rsidP="00F57ED3">
            <w:pPr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7 DAT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17,25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20,88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135,75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19,02 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40,35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51, 93 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33,93</w:t>
            </w:r>
          </w:p>
        </w:tc>
      </w:tr>
      <w:tr w:rsidR="00F80945" w:rsidTr="001D5553">
        <w:tc>
          <w:tcPr>
            <w:tcW w:w="643" w:type="pct"/>
            <w:tcBorders>
              <w:top w:val="nil"/>
              <w:left w:val="nil"/>
              <w:right w:val="nil"/>
            </w:tcBorders>
          </w:tcPr>
          <w:p w:rsidR="00F80945" w:rsidRPr="00386CE7" w:rsidRDefault="00F80945" w:rsidP="00F57ED3">
            <w:pPr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14 DAT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17,29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20,75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129,05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21,33 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945" w:rsidRPr="00386CE7" w:rsidRDefault="002424B9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</w:t>
            </w:r>
            <w:r w:rsidR="00F80945" w:rsidRPr="00386CE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3" w:type="pct"/>
            <w:tcBorders>
              <w:top w:val="nil"/>
              <w:left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46,08 b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39,91</w:t>
            </w:r>
          </w:p>
        </w:tc>
      </w:tr>
      <w:tr w:rsidR="00F80945" w:rsidTr="001D5553">
        <w:tc>
          <w:tcPr>
            <w:tcW w:w="643" w:type="pct"/>
            <w:tcBorders>
              <w:left w:val="nil"/>
              <w:right w:val="nil"/>
            </w:tcBorders>
          </w:tcPr>
          <w:p w:rsidR="00F80945" w:rsidRPr="00386CE7" w:rsidRDefault="00F80945" w:rsidP="00F57ED3">
            <w:pPr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DMS</w:t>
            </w:r>
          </w:p>
        </w:tc>
        <w:tc>
          <w:tcPr>
            <w:tcW w:w="622" w:type="pct"/>
            <w:tcBorders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0,51</w:t>
            </w:r>
          </w:p>
        </w:tc>
        <w:tc>
          <w:tcPr>
            <w:tcW w:w="622" w:type="pct"/>
            <w:tcBorders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2,26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34,75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2,02</w:t>
            </w:r>
          </w:p>
        </w:tc>
        <w:tc>
          <w:tcPr>
            <w:tcW w:w="623" w:type="pct"/>
            <w:tcBorders>
              <w:left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2,97</w:t>
            </w:r>
          </w:p>
        </w:tc>
        <w:tc>
          <w:tcPr>
            <w:tcW w:w="623" w:type="pct"/>
            <w:tcBorders>
              <w:left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5,11</w:t>
            </w: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10,64</w:t>
            </w:r>
          </w:p>
        </w:tc>
      </w:tr>
      <w:tr w:rsidR="00F80945" w:rsidTr="001D5553">
        <w:tc>
          <w:tcPr>
            <w:tcW w:w="643" w:type="pct"/>
            <w:tcBorders>
              <w:left w:val="nil"/>
              <w:right w:val="nil"/>
            </w:tcBorders>
          </w:tcPr>
          <w:p w:rsidR="00F80945" w:rsidRPr="00386CE7" w:rsidRDefault="00F80945" w:rsidP="00F57ED3">
            <w:pPr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CV</w:t>
            </w:r>
          </w:p>
        </w:tc>
        <w:tc>
          <w:tcPr>
            <w:tcW w:w="622" w:type="pct"/>
            <w:tcBorders>
              <w:left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3,44</w:t>
            </w:r>
          </w:p>
        </w:tc>
        <w:tc>
          <w:tcPr>
            <w:tcW w:w="622" w:type="pct"/>
            <w:tcBorders>
              <w:left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12,47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30,18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11,63</w:t>
            </w:r>
          </w:p>
        </w:tc>
        <w:tc>
          <w:tcPr>
            <w:tcW w:w="623" w:type="pct"/>
            <w:tcBorders>
              <w:left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8,7</w:t>
            </w:r>
          </w:p>
        </w:tc>
        <w:tc>
          <w:tcPr>
            <w:tcW w:w="623" w:type="pct"/>
            <w:tcBorders>
              <w:left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12,44</w:t>
            </w:r>
          </w:p>
        </w:tc>
        <w:tc>
          <w:tcPr>
            <w:tcW w:w="623" w:type="pct"/>
            <w:tcBorders>
              <w:left w:val="nil"/>
              <w:right w:val="nil"/>
            </w:tcBorders>
          </w:tcPr>
          <w:p w:rsidR="00F80945" w:rsidRPr="00386CE7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7">
              <w:rPr>
                <w:rFonts w:ascii="Arial" w:hAnsi="Arial" w:cs="Arial"/>
                <w:sz w:val="20"/>
                <w:szCs w:val="20"/>
              </w:rPr>
              <w:t>33,87</w:t>
            </w:r>
          </w:p>
        </w:tc>
      </w:tr>
    </w:tbl>
    <w:p w:rsidR="00F80945" w:rsidRPr="00131867" w:rsidRDefault="00F80945" w:rsidP="00F80945">
      <w:pPr>
        <w:jc w:val="both"/>
        <w:rPr>
          <w:rFonts w:ascii="Arial" w:hAnsi="Arial" w:cs="Arial"/>
          <w:sz w:val="16"/>
          <w:szCs w:val="22"/>
        </w:rPr>
      </w:pPr>
      <w:r w:rsidRPr="00131867">
        <w:rPr>
          <w:rFonts w:ascii="Arial" w:hAnsi="Arial" w:cs="Arial"/>
          <w:sz w:val="16"/>
        </w:rPr>
        <w:t>¹. Dias após o transplante da alface</w:t>
      </w:r>
      <w:r>
        <w:rPr>
          <w:rFonts w:ascii="Arial" w:hAnsi="Arial" w:cs="Arial"/>
          <w:sz w:val="16"/>
        </w:rPr>
        <w:t xml:space="preserve">; </w:t>
      </w:r>
      <w:r w:rsidRPr="005E765D">
        <w:rPr>
          <w:rFonts w:ascii="Arial" w:hAnsi="Arial" w:cs="Arial"/>
          <w:sz w:val="16"/>
          <w:szCs w:val="16"/>
        </w:rPr>
        <w:t>Médias seguidas de mesma letra nas colunas não diferem estatisticamente ent</w:t>
      </w:r>
      <w:r>
        <w:rPr>
          <w:rFonts w:ascii="Arial" w:hAnsi="Arial" w:cs="Arial"/>
          <w:sz w:val="16"/>
          <w:szCs w:val="16"/>
        </w:rPr>
        <w:t xml:space="preserve">re si, Teste de </w:t>
      </w:r>
      <w:proofErr w:type="spellStart"/>
      <w:r>
        <w:rPr>
          <w:rFonts w:ascii="Arial" w:hAnsi="Arial" w:cs="Arial"/>
          <w:sz w:val="16"/>
          <w:szCs w:val="16"/>
        </w:rPr>
        <w:t>Tukey</w:t>
      </w:r>
      <w:proofErr w:type="spellEnd"/>
      <w:r>
        <w:rPr>
          <w:rFonts w:ascii="Arial" w:hAnsi="Arial" w:cs="Arial"/>
          <w:sz w:val="16"/>
          <w:szCs w:val="16"/>
        </w:rPr>
        <w:t>, p &lt; 0,05.</w:t>
      </w:r>
    </w:p>
    <w:p w:rsidR="00F80945" w:rsidRDefault="00F80945" w:rsidP="00F80945">
      <w:pPr>
        <w:jc w:val="both"/>
        <w:rPr>
          <w:rFonts w:ascii="Arial" w:hAnsi="Arial" w:cs="Arial"/>
          <w:b/>
        </w:rPr>
      </w:pPr>
    </w:p>
    <w:p w:rsidR="00F80945" w:rsidRPr="00386CE7" w:rsidRDefault="00F80945" w:rsidP="00F80945">
      <w:pPr>
        <w:rPr>
          <w:rFonts w:ascii="Arial" w:hAnsi="Arial" w:cs="Arial"/>
          <w:sz w:val="20"/>
          <w:szCs w:val="20"/>
        </w:rPr>
      </w:pPr>
      <w:r w:rsidRPr="00386CE7">
        <w:rPr>
          <w:rFonts w:ascii="Arial" w:hAnsi="Arial" w:cs="Arial"/>
          <w:b/>
          <w:sz w:val="20"/>
          <w:szCs w:val="20"/>
        </w:rPr>
        <w:t>Tabela 2.</w:t>
      </w:r>
      <w:r w:rsidRPr="00386CE7">
        <w:rPr>
          <w:rFonts w:ascii="Arial" w:hAnsi="Arial" w:cs="Arial"/>
          <w:sz w:val="20"/>
          <w:szCs w:val="20"/>
        </w:rPr>
        <w:t xml:space="preserve"> Produtividade </w:t>
      </w:r>
      <w:proofErr w:type="gramStart"/>
      <w:r w:rsidRPr="00386CE7">
        <w:rPr>
          <w:rFonts w:ascii="Arial" w:hAnsi="Arial" w:cs="Arial"/>
          <w:sz w:val="20"/>
          <w:szCs w:val="20"/>
        </w:rPr>
        <w:t>( ha</w:t>
      </w:r>
      <w:proofErr w:type="gramEnd"/>
      <w:r w:rsidRPr="00386CE7">
        <w:rPr>
          <w:rFonts w:ascii="Arial" w:hAnsi="Arial" w:cs="Arial"/>
          <w:sz w:val="20"/>
          <w:szCs w:val="20"/>
          <w:vertAlign w:val="superscript"/>
        </w:rPr>
        <w:t>-1</w:t>
      </w:r>
      <w:r w:rsidRPr="00386CE7">
        <w:rPr>
          <w:rFonts w:ascii="Arial" w:hAnsi="Arial" w:cs="Arial"/>
          <w:sz w:val="20"/>
          <w:szCs w:val="20"/>
        </w:rPr>
        <w:t>) e índices de uso de eficiência da terra (UET) dos cultivos consorciados em função do ornamento e da época de estabelecimento do consórcio</w:t>
      </w:r>
    </w:p>
    <w:tbl>
      <w:tblPr>
        <w:tblStyle w:val="Tabelacomgrade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42"/>
        <w:gridCol w:w="1275"/>
        <w:gridCol w:w="868"/>
        <w:gridCol w:w="1259"/>
        <w:gridCol w:w="1559"/>
        <w:gridCol w:w="992"/>
      </w:tblGrid>
      <w:tr w:rsidR="00F80945" w:rsidTr="009D6BEF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F80945" w:rsidRPr="0083452A" w:rsidRDefault="00F80945" w:rsidP="00F57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Produtividade média (t/ha</w:t>
            </w:r>
            <w:r w:rsidRPr="0083452A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  <w:r w:rsidRPr="008345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</w:tcBorders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UET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Produtividade média (t/ha</w:t>
            </w:r>
            <w:r w:rsidRPr="0083452A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  <w:r w:rsidRPr="008345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UET</w:t>
            </w:r>
          </w:p>
        </w:tc>
      </w:tr>
      <w:tr w:rsidR="00F80945" w:rsidTr="009D6BEF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F80945" w:rsidRPr="0083452A" w:rsidRDefault="00F80945" w:rsidP="00F57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Alface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Rabanete</w:t>
            </w:r>
          </w:p>
        </w:tc>
        <w:tc>
          <w:tcPr>
            <w:tcW w:w="868" w:type="dxa"/>
            <w:vMerge/>
            <w:tcBorders>
              <w:bottom w:val="single" w:sz="4" w:space="0" w:color="auto"/>
            </w:tcBorders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Alface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Rabanete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945" w:rsidTr="009D6BEF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F80945" w:rsidRPr="0083452A" w:rsidRDefault="00F80945" w:rsidP="00F57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Arranjo 1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Arranjo 2</w:t>
            </w:r>
          </w:p>
        </w:tc>
      </w:tr>
      <w:tr w:rsidR="00F80945" w:rsidTr="009D6BEF">
        <w:tc>
          <w:tcPr>
            <w:tcW w:w="1809" w:type="dxa"/>
            <w:tcBorders>
              <w:top w:val="single" w:sz="4" w:space="0" w:color="auto"/>
            </w:tcBorders>
          </w:tcPr>
          <w:p w:rsidR="00F80945" w:rsidRPr="0083452A" w:rsidRDefault="00F80945" w:rsidP="00F57ED3">
            <w:pPr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Tratamento 1¹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1,24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1,24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52A">
              <w:rPr>
                <w:rFonts w:ascii="Arial" w:hAnsi="Arial" w:cs="Arial"/>
                <w:color w:val="000000"/>
                <w:sz w:val="20"/>
                <w:szCs w:val="20"/>
              </w:rPr>
              <w:t>19,81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80945" w:rsidTr="009D6BEF">
        <w:tc>
          <w:tcPr>
            <w:tcW w:w="1809" w:type="dxa"/>
          </w:tcPr>
          <w:p w:rsidR="00F80945" w:rsidRPr="0083452A" w:rsidRDefault="00F80945" w:rsidP="00F57ED3">
            <w:pPr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Tratamento 2</w:t>
            </w:r>
          </w:p>
        </w:tc>
        <w:tc>
          <w:tcPr>
            <w:tcW w:w="851" w:type="dxa"/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0,73</w:t>
            </w:r>
          </w:p>
        </w:tc>
        <w:tc>
          <w:tcPr>
            <w:tcW w:w="1417" w:type="dxa"/>
            <w:gridSpan w:val="2"/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color w:val="000000"/>
                <w:sz w:val="20"/>
                <w:szCs w:val="20"/>
              </w:rPr>
              <w:t>18,12</w:t>
            </w:r>
          </w:p>
        </w:tc>
        <w:tc>
          <w:tcPr>
            <w:tcW w:w="868" w:type="dxa"/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1,65</w:t>
            </w:r>
          </w:p>
        </w:tc>
        <w:tc>
          <w:tcPr>
            <w:tcW w:w="1259" w:type="dxa"/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0,74</w:t>
            </w:r>
          </w:p>
        </w:tc>
        <w:tc>
          <w:tcPr>
            <w:tcW w:w="1559" w:type="dxa"/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52A">
              <w:rPr>
                <w:rFonts w:ascii="Arial" w:hAnsi="Arial" w:cs="Arial"/>
                <w:color w:val="000000"/>
                <w:sz w:val="20"/>
                <w:szCs w:val="20"/>
              </w:rPr>
              <w:t>17,67</w:t>
            </w:r>
          </w:p>
        </w:tc>
        <w:tc>
          <w:tcPr>
            <w:tcW w:w="992" w:type="dxa"/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F80945" w:rsidTr="009D6BEF">
        <w:tc>
          <w:tcPr>
            <w:tcW w:w="1809" w:type="dxa"/>
          </w:tcPr>
          <w:p w:rsidR="00F80945" w:rsidRPr="0083452A" w:rsidRDefault="00F80945" w:rsidP="00F57ED3">
            <w:pPr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Tratamento 3</w:t>
            </w:r>
          </w:p>
        </w:tc>
        <w:tc>
          <w:tcPr>
            <w:tcW w:w="851" w:type="dxa"/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0,61</w:t>
            </w:r>
          </w:p>
        </w:tc>
        <w:tc>
          <w:tcPr>
            <w:tcW w:w="1417" w:type="dxa"/>
            <w:gridSpan w:val="2"/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color w:val="000000"/>
                <w:sz w:val="20"/>
                <w:szCs w:val="20"/>
              </w:rPr>
              <w:t>16,97</w:t>
            </w:r>
          </w:p>
        </w:tc>
        <w:tc>
          <w:tcPr>
            <w:tcW w:w="868" w:type="dxa"/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1,51</w:t>
            </w:r>
          </w:p>
        </w:tc>
        <w:tc>
          <w:tcPr>
            <w:tcW w:w="1259" w:type="dxa"/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559" w:type="dxa"/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52A">
              <w:rPr>
                <w:rFonts w:ascii="Arial" w:hAnsi="Arial" w:cs="Arial"/>
                <w:color w:val="000000"/>
                <w:sz w:val="20"/>
                <w:szCs w:val="20"/>
              </w:rPr>
              <w:t>17,45</w:t>
            </w:r>
          </w:p>
        </w:tc>
        <w:tc>
          <w:tcPr>
            <w:tcW w:w="992" w:type="dxa"/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1,73</w:t>
            </w:r>
          </w:p>
        </w:tc>
      </w:tr>
      <w:tr w:rsidR="00F80945" w:rsidTr="009D6BEF">
        <w:tc>
          <w:tcPr>
            <w:tcW w:w="1809" w:type="dxa"/>
          </w:tcPr>
          <w:p w:rsidR="00F80945" w:rsidRPr="0083452A" w:rsidRDefault="00F80945" w:rsidP="00F57ED3">
            <w:pPr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Tratamento 4</w:t>
            </w:r>
          </w:p>
        </w:tc>
        <w:tc>
          <w:tcPr>
            <w:tcW w:w="851" w:type="dxa"/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0,57</w:t>
            </w:r>
          </w:p>
        </w:tc>
        <w:tc>
          <w:tcPr>
            <w:tcW w:w="1417" w:type="dxa"/>
            <w:gridSpan w:val="2"/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color w:val="000000"/>
                <w:sz w:val="20"/>
                <w:szCs w:val="20"/>
              </w:rPr>
              <w:t>22,89</w:t>
            </w:r>
          </w:p>
        </w:tc>
        <w:tc>
          <w:tcPr>
            <w:tcW w:w="868" w:type="dxa"/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1,41</w:t>
            </w:r>
          </w:p>
        </w:tc>
        <w:tc>
          <w:tcPr>
            <w:tcW w:w="1259" w:type="dxa"/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0,79</w:t>
            </w:r>
          </w:p>
        </w:tc>
        <w:tc>
          <w:tcPr>
            <w:tcW w:w="1559" w:type="dxa"/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color w:val="000000"/>
                <w:sz w:val="20"/>
                <w:szCs w:val="20"/>
              </w:rPr>
              <w:t>19,81</w:t>
            </w:r>
          </w:p>
        </w:tc>
        <w:tc>
          <w:tcPr>
            <w:tcW w:w="992" w:type="dxa"/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1,46</w:t>
            </w:r>
          </w:p>
        </w:tc>
      </w:tr>
      <w:tr w:rsidR="00F80945" w:rsidTr="009D6BEF">
        <w:tc>
          <w:tcPr>
            <w:tcW w:w="1809" w:type="dxa"/>
          </w:tcPr>
          <w:p w:rsidR="00F80945" w:rsidRPr="0083452A" w:rsidRDefault="00F80945" w:rsidP="00F57ED3">
            <w:pPr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Tratamento 5</w:t>
            </w:r>
          </w:p>
        </w:tc>
        <w:tc>
          <w:tcPr>
            <w:tcW w:w="851" w:type="dxa"/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17,09</w:t>
            </w:r>
          </w:p>
        </w:tc>
        <w:tc>
          <w:tcPr>
            <w:tcW w:w="868" w:type="dxa"/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F80945" w:rsidRPr="0083452A" w:rsidRDefault="00F80945" w:rsidP="00F57ED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17,09</w:t>
            </w:r>
          </w:p>
        </w:tc>
        <w:tc>
          <w:tcPr>
            <w:tcW w:w="992" w:type="dxa"/>
          </w:tcPr>
          <w:p w:rsidR="00F80945" w:rsidRPr="0083452A" w:rsidRDefault="00F80945" w:rsidP="00F57ED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80945" w:rsidTr="009D6BEF">
        <w:trPr>
          <w:trHeight w:val="87"/>
        </w:trPr>
        <w:tc>
          <w:tcPr>
            <w:tcW w:w="1809" w:type="dxa"/>
          </w:tcPr>
          <w:p w:rsidR="00F80945" w:rsidRPr="0083452A" w:rsidRDefault="00F80945" w:rsidP="00F57ED3">
            <w:pPr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Tratamento 6</w:t>
            </w:r>
          </w:p>
        </w:tc>
        <w:tc>
          <w:tcPr>
            <w:tcW w:w="851" w:type="dxa"/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16,72</w:t>
            </w:r>
          </w:p>
        </w:tc>
        <w:tc>
          <w:tcPr>
            <w:tcW w:w="868" w:type="dxa"/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F80945" w:rsidRPr="0083452A" w:rsidRDefault="00F80945" w:rsidP="00F57ED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16,72</w:t>
            </w:r>
          </w:p>
        </w:tc>
        <w:tc>
          <w:tcPr>
            <w:tcW w:w="992" w:type="dxa"/>
          </w:tcPr>
          <w:p w:rsidR="00F80945" w:rsidRPr="0083452A" w:rsidRDefault="00F80945" w:rsidP="00F57ED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80945" w:rsidTr="009D6BEF">
        <w:trPr>
          <w:trHeight w:val="77"/>
        </w:trPr>
        <w:tc>
          <w:tcPr>
            <w:tcW w:w="1809" w:type="dxa"/>
            <w:tcBorders>
              <w:bottom w:val="single" w:sz="4" w:space="0" w:color="auto"/>
            </w:tcBorders>
          </w:tcPr>
          <w:p w:rsidR="00F80945" w:rsidRPr="0083452A" w:rsidRDefault="00F80945" w:rsidP="00F57ED3">
            <w:pPr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Tratamento 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24,18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F80945" w:rsidRPr="0083452A" w:rsidRDefault="00F80945" w:rsidP="00F57ED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0945" w:rsidRPr="0083452A" w:rsidRDefault="00F80945" w:rsidP="00F5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24,18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0945" w:rsidRPr="0083452A" w:rsidRDefault="00F80945" w:rsidP="00F57ED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5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F80945" w:rsidRPr="005E765D" w:rsidRDefault="00F80945" w:rsidP="00F80945">
      <w:pPr>
        <w:jc w:val="both"/>
        <w:rPr>
          <w:rFonts w:ascii="Arial" w:hAnsi="Arial" w:cs="Arial"/>
          <w:sz w:val="16"/>
        </w:rPr>
      </w:pPr>
      <w:r w:rsidRPr="005E765D">
        <w:rPr>
          <w:rFonts w:ascii="Arial" w:hAnsi="Arial" w:cs="Arial"/>
          <w:sz w:val="16"/>
        </w:rPr>
        <w:t xml:space="preserve">¹. </w:t>
      </w:r>
      <w:r>
        <w:rPr>
          <w:rFonts w:ascii="Arial" w:hAnsi="Arial" w:cs="Arial"/>
          <w:sz w:val="16"/>
        </w:rPr>
        <w:t>Tratamento 1</w:t>
      </w:r>
      <w:r w:rsidRPr="005E765D">
        <w:rPr>
          <w:rFonts w:ascii="Arial" w:hAnsi="Arial" w:cs="Arial"/>
          <w:sz w:val="16"/>
        </w:rPr>
        <w:t xml:space="preserve"> = monocultivo da alface</w:t>
      </w:r>
      <w:r>
        <w:rPr>
          <w:rFonts w:ascii="Arial" w:hAnsi="Arial" w:cs="Arial"/>
          <w:sz w:val="16"/>
        </w:rPr>
        <w:t>,</w:t>
      </w:r>
      <w:r w:rsidRPr="005E765D">
        <w:rPr>
          <w:rFonts w:ascii="Arial" w:hAnsi="Arial" w:cs="Arial"/>
          <w:sz w:val="16"/>
        </w:rPr>
        <w:t xml:space="preserve"> Tratamento </w:t>
      </w:r>
      <w:r>
        <w:rPr>
          <w:rFonts w:ascii="Arial" w:hAnsi="Arial" w:cs="Arial"/>
          <w:sz w:val="16"/>
        </w:rPr>
        <w:t>2</w:t>
      </w:r>
      <w:r w:rsidRPr="005E765D">
        <w:rPr>
          <w:rFonts w:ascii="Arial" w:hAnsi="Arial" w:cs="Arial"/>
          <w:sz w:val="16"/>
        </w:rPr>
        <w:t xml:space="preserve"> = Consórcio a 0 dias após o transplante, Tratamento </w:t>
      </w:r>
      <w:r>
        <w:rPr>
          <w:rFonts w:ascii="Arial" w:hAnsi="Arial" w:cs="Arial"/>
          <w:sz w:val="16"/>
        </w:rPr>
        <w:t>3</w:t>
      </w:r>
      <w:r w:rsidRPr="005E765D">
        <w:rPr>
          <w:rFonts w:ascii="Arial" w:hAnsi="Arial" w:cs="Arial"/>
          <w:sz w:val="16"/>
        </w:rPr>
        <w:t xml:space="preserve"> = Consórcio a 7 dias após o transplante, Tratamento </w:t>
      </w:r>
      <w:r>
        <w:rPr>
          <w:rFonts w:ascii="Arial" w:hAnsi="Arial" w:cs="Arial"/>
          <w:sz w:val="16"/>
        </w:rPr>
        <w:t>4</w:t>
      </w:r>
      <w:r w:rsidRPr="005E765D">
        <w:rPr>
          <w:rFonts w:ascii="Arial" w:hAnsi="Arial" w:cs="Arial"/>
          <w:sz w:val="16"/>
        </w:rPr>
        <w:t xml:space="preserve"> = Consórci</w:t>
      </w:r>
      <w:r>
        <w:rPr>
          <w:rFonts w:ascii="Arial" w:hAnsi="Arial" w:cs="Arial"/>
          <w:sz w:val="16"/>
        </w:rPr>
        <w:t>o a 14 dias após o transplante</w:t>
      </w:r>
      <w:r w:rsidRPr="005E765D">
        <w:rPr>
          <w:rFonts w:ascii="Arial" w:hAnsi="Arial" w:cs="Arial"/>
          <w:sz w:val="16"/>
        </w:rPr>
        <w:t>, Tratamento 5 = monocultivo do rabanete a 0 dias após o transplante, Tratamento 6 = monocultivo do rabanete a 7 dias após o transplante. Tratamento 7 = monocultivo do rabanete a 14 dias após o transplante.</w:t>
      </w:r>
    </w:p>
    <w:p w:rsidR="00F80945" w:rsidRDefault="00F80945" w:rsidP="00F80945">
      <w:pPr>
        <w:jc w:val="both"/>
        <w:rPr>
          <w:rFonts w:ascii="Arial" w:hAnsi="Arial" w:cs="Arial"/>
          <w:b/>
        </w:rPr>
      </w:pPr>
    </w:p>
    <w:p w:rsidR="00F80945" w:rsidRPr="00CE2CD1" w:rsidRDefault="00F80945" w:rsidP="00F80945">
      <w:pPr>
        <w:jc w:val="both"/>
        <w:rPr>
          <w:rFonts w:ascii="Arial" w:hAnsi="Arial" w:cs="Arial"/>
        </w:rPr>
      </w:pPr>
      <w:r w:rsidRPr="00CE2CD1">
        <w:rPr>
          <w:rFonts w:ascii="Arial" w:hAnsi="Arial" w:cs="Arial"/>
          <w:b/>
        </w:rPr>
        <w:t>Conclusões</w:t>
      </w:r>
    </w:p>
    <w:p w:rsidR="00F80945" w:rsidRPr="00CE2CD1" w:rsidRDefault="00F80945" w:rsidP="00F80945">
      <w:pPr>
        <w:jc w:val="both"/>
        <w:rPr>
          <w:rFonts w:ascii="Arial" w:hAnsi="Arial" w:cs="Arial"/>
        </w:rPr>
      </w:pPr>
    </w:p>
    <w:p w:rsidR="00F80945" w:rsidRDefault="00F80945" w:rsidP="00F80945">
      <w:pPr>
        <w:ind w:firstLine="708"/>
        <w:contextualSpacing/>
        <w:jc w:val="both"/>
        <w:rPr>
          <w:rFonts w:ascii="Arial" w:hAnsi="Arial" w:cs="Arial"/>
        </w:rPr>
      </w:pPr>
      <w:r w:rsidRPr="00CE2CD1">
        <w:rPr>
          <w:rFonts w:ascii="Arial" w:hAnsi="Arial" w:cs="Arial"/>
        </w:rPr>
        <w:t xml:space="preserve">Os resultados deste trabalho mostraram que os índices UET se assemelham quando comparados dentro de um mesmo </w:t>
      </w:r>
      <w:r w:rsidR="00F542F2">
        <w:rPr>
          <w:rFonts w:ascii="Arial" w:hAnsi="Arial" w:cs="Arial"/>
        </w:rPr>
        <w:t>arranjo com</w:t>
      </w:r>
      <w:r w:rsidRPr="00CE2CD1">
        <w:rPr>
          <w:rFonts w:ascii="Arial" w:hAnsi="Arial" w:cs="Arial"/>
        </w:rPr>
        <w:t xml:space="preserve"> rabanete</w:t>
      </w:r>
      <w:r w:rsidR="00A32279">
        <w:rPr>
          <w:rFonts w:ascii="Arial" w:hAnsi="Arial" w:cs="Arial"/>
        </w:rPr>
        <w:t>.</w:t>
      </w:r>
      <w:r w:rsidRPr="00CE2CD1">
        <w:rPr>
          <w:rFonts w:ascii="Arial" w:hAnsi="Arial" w:cs="Arial"/>
        </w:rPr>
        <w:t xml:space="preserve"> De modo geral, verificou-se que a produtividade de raízes de rabanete aumentou com semeadura </w:t>
      </w:r>
      <w:r w:rsidR="00F542F2">
        <w:rPr>
          <w:rFonts w:ascii="Arial" w:hAnsi="Arial" w:cs="Arial"/>
        </w:rPr>
        <w:t>aos 14 DAT</w:t>
      </w:r>
      <w:r w:rsidRPr="00CE2CD1">
        <w:rPr>
          <w:rFonts w:ascii="Arial" w:hAnsi="Arial" w:cs="Arial"/>
        </w:rPr>
        <w:t xml:space="preserve">, enquanto que a produtividade </w:t>
      </w:r>
      <w:r w:rsidR="009D6BEF">
        <w:rPr>
          <w:rFonts w:ascii="Arial" w:hAnsi="Arial" w:cs="Arial"/>
        </w:rPr>
        <w:t xml:space="preserve">da alface </w:t>
      </w:r>
      <w:r w:rsidRPr="00CE2CD1">
        <w:rPr>
          <w:rFonts w:ascii="Arial" w:hAnsi="Arial" w:cs="Arial"/>
        </w:rPr>
        <w:t>diminui</w:t>
      </w:r>
      <w:r w:rsidR="009D6BEF">
        <w:rPr>
          <w:rFonts w:ascii="Arial" w:hAnsi="Arial" w:cs="Arial"/>
        </w:rPr>
        <w:t xml:space="preserve"> nos consórcios mais atrasados</w:t>
      </w:r>
      <w:r w:rsidRPr="00CE2CD1">
        <w:rPr>
          <w:rFonts w:ascii="Arial" w:hAnsi="Arial" w:cs="Arial"/>
        </w:rPr>
        <w:t>. Deste modo, o cultivo consorciado das culturas de alface e rabanete demonstrou ser vantajoso em todas as épocas de estabelecimento de consórcio avaliadas, levando em consideração o índice de uso eficiente da terra.</w:t>
      </w:r>
    </w:p>
    <w:p w:rsidR="00F80945" w:rsidRPr="00CE2CD1" w:rsidRDefault="00F80945" w:rsidP="00F80945">
      <w:pPr>
        <w:jc w:val="both"/>
        <w:rPr>
          <w:rFonts w:ascii="Arial" w:hAnsi="Arial" w:cs="Arial"/>
        </w:rPr>
      </w:pPr>
    </w:p>
    <w:p w:rsidR="00F80945" w:rsidRPr="00CE2CD1" w:rsidRDefault="00F80945" w:rsidP="00F80945">
      <w:pPr>
        <w:jc w:val="both"/>
        <w:rPr>
          <w:rFonts w:ascii="Arial" w:hAnsi="Arial" w:cs="Arial"/>
        </w:rPr>
      </w:pPr>
      <w:r w:rsidRPr="00CE2CD1">
        <w:rPr>
          <w:rFonts w:ascii="Arial" w:hAnsi="Arial" w:cs="Arial"/>
          <w:b/>
        </w:rPr>
        <w:t>Agradecimentos</w:t>
      </w:r>
    </w:p>
    <w:p w:rsidR="00F80945" w:rsidRPr="00CE2CD1" w:rsidRDefault="00F80945" w:rsidP="00F80945">
      <w:pPr>
        <w:rPr>
          <w:rFonts w:ascii="Arial" w:hAnsi="Arial" w:cs="Arial"/>
        </w:rPr>
      </w:pPr>
    </w:p>
    <w:p w:rsidR="00F80945" w:rsidRPr="00CE2CD1" w:rsidRDefault="00F80945" w:rsidP="00F80945">
      <w:pPr>
        <w:ind w:firstLine="708"/>
        <w:jc w:val="both"/>
        <w:rPr>
          <w:rFonts w:ascii="Arial" w:hAnsi="Arial" w:cs="Arial"/>
          <w:shd w:val="clear" w:color="auto" w:fill="FFFFFF"/>
        </w:rPr>
      </w:pPr>
      <w:r w:rsidRPr="00CE2CD1">
        <w:rPr>
          <w:rFonts w:ascii="Arial" w:hAnsi="Arial" w:cs="Arial"/>
          <w:shd w:val="clear" w:color="auto" w:fill="FFFFFF"/>
        </w:rPr>
        <w:lastRenderedPageBreak/>
        <w:t>A Fundação Araucária de Apoio ao Desenvolvimento Científico e Tecnológico do Estado do Paraná pelo apoio financeiro.</w:t>
      </w:r>
    </w:p>
    <w:p w:rsidR="00F80945" w:rsidRPr="00CE2CD1" w:rsidRDefault="00F80945" w:rsidP="00F80945">
      <w:pPr>
        <w:jc w:val="both"/>
        <w:rPr>
          <w:rFonts w:ascii="Arial" w:hAnsi="Arial" w:cs="Arial"/>
        </w:rPr>
      </w:pPr>
    </w:p>
    <w:p w:rsidR="00F80945" w:rsidRPr="00CE2CD1" w:rsidRDefault="00F80945" w:rsidP="00F80945">
      <w:pPr>
        <w:jc w:val="both"/>
        <w:rPr>
          <w:rFonts w:ascii="Arial" w:hAnsi="Arial" w:cs="Arial"/>
        </w:rPr>
      </w:pPr>
      <w:r w:rsidRPr="00CE2CD1">
        <w:rPr>
          <w:rFonts w:ascii="Arial" w:hAnsi="Arial" w:cs="Arial"/>
          <w:b/>
        </w:rPr>
        <w:t>Referências</w:t>
      </w:r>
    </w:p>
    <w:p w:rsidR="00F80945" w:rsidRDefault="00F80945" w:rsidP="00F80945"/>
    <w:p w:rsidR="00F80945" w:rsidRPr="005B194D" w:rsidRDefault="00F80945" w:rsidP="00F80945">
      <w:pPr>
        <w:jc w:val="both"/>
        <w:rPr>
          <w:rFonts w:ascii="Arial" w:hAnsi="Arial" w:cs="Arial"/>
        </w:rPr>
      </w:pPr>
      <w:r w:rsidRPr="005B194D">
        <w:rPr>
          <w:rFonts w:ascii="Arial" w:hAnsi="Arial" w:cs="Arial"/>
        </w:rPr>
        <w:t xml:space="preserve">Beltrão, N. E. M., Nobrega, L. B., Azevedo, D. M. P., Vieira, D. J. (1984). Comparação entre indicadores </w:t>
      </w:r>
      <w:proofErr w:type="spellStart"/>
      <w:r w:rsidRPr="005B194D">
        <w:rPr>
          <w:rFonts w:ascii="Arial" w:hAnsi="Arial" w:cs="Arial"/>
        </w:rPr>
        <w:t>agroeconômicos</w:t>
      </w:r>
      <w:proofErr w:type="spellEnd"/>
      <w:r w:rsidRPr="005B194D">
        <w:rPr>
          <w:rFonts w:ascii="Arial" w:hAnsi="Arial" w:cs="Arial"/>
        </w:rPr>
        <w:t xml:space="preserve"> de avaliação de </w:t>
      </w:r>
      <w:proofErr w:type="spellStart"/>
      <w:r w:rsidRPr="005B194D">
        <w:rPr>
          <w:rFonts w:ascii="Arial" w:hAnsi="Arial" w:cs="Arial"/>
        </w:rPr>
        <w:t>agroecossistemas</w:t>
      </w:r>
      <w:proofErr w:type="spellEnd"/>
      <w:r w:rsidRPr="005B194D">
        <w:rPr>
          <w:rFonts w:ascii="Arial" w:hAnsi="Arial" w:cs="Arial"/>
        </w:rPr>
        <w:t xml:space="preserve"> consorciados e solteiros envolvendo algodão “</w:t>
      </w:r>
      <w:proofErr w:type="spellStart"/>
      <w:r w:rsidRPr="005B194D">
        <w:rPr>
          <w:rFonts w:ascii="Arial" w:hAnsi="Arial" w:cs="Arial"/>
        </w:rPr>
        <w:t>upland</w:t>
      </w:r>
      <w:proofErr w:type="spellEnd"/>
      <w:r w:rsidRPr="005B194D">
        <w:rPr>
          <w:rFonts w:ascii="Arial" w:hAnsi="Arial" w:cs="Arial"/>
        </w:rPr>
        <w:t>” e feijão “</w:t>
      </w:r>
      <w:proofErr w:type="spellStart"/>
      <w:r w:rsidRPr="005B194D">
        <w:rPr>
          <w:rFonts w:ascii="Arial" w:hAnsi="Arial" w:cs="Arial"/>
        </w:rPr>
        <w:t>caupi</w:t>
      </w:r>
      <w:proofErr w:type="spellEnd"/>
      <w:r w:rsidRPr="005B194D">
        <w:rPr>
          <w:rFonts w:ascii="Arial" w:hAnsi="Arial" w:cs="Arial"/>
        </w:rPr>
        <w:t xml:space="preserve">”. </w:t>
      </w:r>
      <w:r w:rsidRPr="005B194D">
        <w:rPr>
          <w:rFonts w:ascii="Arial" w:hAnsi="Arial" w:cs="Arial"/>
          <w:i/>
        </w:rPr>
        <w:t>EMBRAPA-CNPA, Boletim de pesquisa</w:t>
      </w:r>
      <w:r w:rsidRPr="005B194D">
        <w:rPr>
          <w:rFonts w:ascii="Arial" w:hAnsi="Arial" w:cs="Arial"/>
        </w:rPr>
        <w:t xml:space="preserve"> </w:t>
      </w:r>
      <w:r w:rsidRPr="005B194D">
        <w:rPr>
          <w:rFonts w:ascii="Arial" w:hAnsi="Arial" w:cs="Arial"/>
          <w:b/>
        </w:rPr>
        <w:t xml:space="preserve">15, </w:t>
      </w:r>
      <w:r w:rsidRPr="005B194D">
        <w:rPr>
          <w:rFonts w:ascii="Arial" w:hAnsi="Arial" w:cs="Arial"/>
        </w:rPr>
        <w:t>21.</w:t>
      </w:r>
    </w:p>
    <w:p w:rsidR="00F80945" w:rsidRPr="005B194D" w:rsidRDefault="00F80945" w:rsidP="00F80945">
      <w:pPr>
        <w:jc w:val="both"/>
        <w:rPr>
          <w:rFonts w:ascii="Arial" w:hAnsi="Arial" w:cs="Arial"/>
        </w:rPr>
      </w:pPr>
    </w:p>
    <w:p w:rsidR="00F80945" w:rsidRPr="005B194D" w:rsidRDefault="00F80945" w:rsidP="00F80945">
      <w:pPr>
        <w:jc w:val="both"/>
        <w:rPr>
          <w:rFonts w:ascii="Arial" w:hAnsi="Arial" w:cs="Arial"/>
        </w:rPr>
      </w:pPr>
      <w:r w:rsidRPr="005B194D">
        <w:rPr>
          <w:rFonts w:ascii="Arial" w:hAnsi="Arial" w:cs="Arial"/>
        </w:rPr>
        <w:t xml:space="preserve">Costa, C.C., Cecílio Filho, A.B., Rezende, B.L.A., Barbosa, J.C., </w:t>
      </w:r>
      <w:proofErr w:type="spellStart"/>
      <w:r w:rsidRPr="005B194D">
        <w:rPr>
          <w:rFonts w:ascii="Arial" w:hAnsi="Arial" w:cs="Arial"/>
        </w:rPr>
        <w:t>Grangeiro</w:t>
      </w:r>
      <w:proofErr w:type="spellEnd"/>
      <w:r w:rsidRPr="005B194D">
        <w:rPr>
          <w:rFonts w:ascii="Arial" w:hAnsi="Arial" w:cs="Arial"/>
        </w:rPr>
        <w:t xml:space="preserve">, L.C. (2007). Viabilidade agronômica do consórcio de alface e rúcula, em duas épocas de cultivo. </w:t>
      </w:r>
      <w:r w:rsidRPr="005B194D">
        <w:rPr>
          <w:rFonts w:ascii="Arial" w:hAnsi="Arial" w:cs="Arial"/>
          <w:i/>
        </w:rPr>
        <w:t>Horticultura Brasileira</w:t>
      </w:r>
      <w:r w:rsidRPr="005B194D">
        <w:rPr>
          <w:rFonts w:ascii="Arial" w:hAnsi="Arial" w:cs="Arial"/>
        </w:rPr>
        <w:t xml:space="preserve">, </w:t>
      </w:r>
      <w:r w:rsidRPr="005B194D">
        <w:rPr>
          <w:rFonts w:ascii="Arial" w:hAnsi="Arial" w:cs="Arial"/>
          <w:b/>
        </w:rPr>
        <w:t>25,</w:t>
      </w:r>
      <w:r w:rsidRPr="005B194D">
        <w:rPr>
          <w:rFonts w:ascii="Arial" w:hAnsi="Arial" w:cs="Arial"/>
        </w:rPr>
        <w:t xml:space="preserve"> 34-40.</w:t>
      </w:r>
    </w:p>
    <w:p w:rsidR="00F80945" w:rsidRPr="005B194D" w:rsidRDefault="00F80945" w:rsidP="00F80945">
      <w:pPr>
        <w:jc w:val="both"/>
        <w:rPr>
          <w:rFonts w:ascii="Arial" w:hAnsi="Arial" w:cs="Arial"/>
        </w:rPr>
      </w:pPr>
    </w:p>
    <w:p w:rsidR="00F80945" w:rsidRPr="005B194D" w:rsidRDefault="00F80945" w:rsidP="00F80945">
      <w:pPr>
        <w:jc w:val="both"/>
        <w:rPr>
          <w:rFonts w:ascii="Arial" w:hAnsi="Arial" w:cs="Arial"/>
        </w:rPr>
      </w:pPr>
      <w:proofErr w:type="spellStart"/>
      <w:r w:rsidRPr="005B194D">
        <w:rPr>
          <w:rFonts w:ascii="Arial" w:hAnsi="Arial" w:cs="Arial"/>
        </w:rPr>
        <w:t>Cecilio</w:t>
      </w:r>
      <w:proofErr w:type="spellEnd"/>
      <w:r w:rsidRPr="005B194D">
        <w:rPr>
          <w:rFonts w:ascii="Arial" w:hAnsi="Arial" w:cs="Arial"/>
        </w:rPr>
        <w:t xml:space="preserve"> Filho, A. B.; May, A. (2002). Produtividade das culturas de alface e rabanete em função da época de estabelecimento do consórcio.  </w:t>
      </w:r>
      <w:r w:rsidRPr="005B194D">
        <w:rPr>
          <w:rFonts w:ascii="Arial" w:hAnsi="Arial" w:cs="Arial"/>
          <w:i/>
        </w:rPr>
        <w:t>Revista Horticultura Brasileira</w:t>
      </w:r>
      <w:r w:rsidRPr="005B194D">
        <w:rPr>
          <w:rFonts w:ascii="Arial" w:hAnsi="Arial" w:cs="Arial"/>
        </w:rPr>
        <w:t xml:space="preserve">, </w:t>
      </w:r>
      <w:r w:rsidRPr="005B194D">
        <w:rPr>
          <w:rFonts w:ascii="Arial" w:hAnsi="Arial" w:cs="Arial"/>
          <w:b/>
        </w:rPr>
        <w:t>20</w:t>
      </w:r>
      <w:r w:rsidRPr="005B194D">
        <w:rPr>
          <w:rFonts w:ascii="Arial" w:hAnsi="Arial" w:cs="Arial"/>
        </w:rPr>
        <w:t>, 501-504.</w:t>
      </w:r>
    </w:p>
    <w:p w:rsidR="00F80945" w:rsidRPr="005B194D" w:rsidRDefault="00F80945" w:rsidP="00F80945">
      <w:pPr>
        <w:jc w:val="both"/>
        <w:rPr>
          <w:rFonts w:ascii="Arial" w:hAnsi="Arial" w:cs="Arial"/>
        </w:rPr>
      </w:pPr>
    </w:p>
    <w:p w:rsidR="00F80945" w:rsidRPr="00F80945" w:rsidRDefault="00F80945" w:rsidP="00F80945">
      <w:pPr>
        <w:jc w:val="both"/>
        <w:rPr>
          <w:rFonts w:ascii="Arial" w:hAnsi="Arial" w:cs="Arial"/>
        </w:rPr>
      </w:pPr>
      <w:r w:rsidRPr="005B194D">
        <w:rPr>
          <w:rFonts w:ascii="Arial" w:hAnsi="Arial" w:cs="Arial"/>
        </w:rPr>
        <w:t xml:space="preserve">Oliveira, F.L.; Ribas, R.G.T.; Junqueira, R.M.; Padovan, M.P.; Guerra, J.G.M.; Almeida, D.L.; Ribeiro, R.L.D. (2005). Desempenho do consórcio entre repolho e rabanete com </w:t>
      </w:r>
      <w:proofErr w:type="spellStart"/>
      <w:r w:rsidRPr="005B194D">
        <w:rPr>
          <w:rFonts w:ascii="Arial" w:hAnsi="Arial" w:cs="Arial"/>
        </w:rPr>
        <w:t>pré</w:t>
      </w:r>
      <w:proofErr w:type="spellEnd"/>
      <w:r w:rsidRPr="005B194D">
        <w:rPr>
          <w:rFonts w:ascii="Arial" w:hAnsi="Arial" w:cs="Arial"/>
        </w:rPr>
        <w:t xml:space="preserve">-cultivo de </w:t>
      </w:r>
      <w:proofErr w:type="spellStart"/>
      <w:r w:rsidRPr="005B194D">
        <w:rPr>
          <w:rFonts w:ascii="Arial" w:hAnsi="Arial" w:cs="Arial"/>
        </w:rPr>
        <w:t>crotalária</w:t>
      </w:r>
      <w:proofErr w:type="spellEnd"/>
      <w:r w:rsidRPr="005B194D">
        <w:rPr>
          <w:rFonts w:ascii="Arial" w:hAnsi="Arial" w:cs="Arial"/>
        </w:rPr>
        <w:t xml:space="preserve">, sob manejo orgânico. </w:t>
      </w:r>
      <w:r w:rsidRPr="00F80945">
        <w:rPr>
          <w:rFonts w:ascii="Arial" w:hAnsi="Arial" w:cs="Arial"/>
          <w:i/>
        </w:rPr>
        <w:t>Horticultura Brasileira,</w:t>
      </w:r>
      <w:r w:rsidRPr="00F80945">
        <w:rPr>
          <w:rFonts w:ascii="Arial" w:hAnsi="Arial" w:cs="Arial"/>
        </w:rPr>
        <w:t xml:space="preserve"> </w:t>
      </w:r>
      <w:r w:rsidRPr="00F80945">
        <w:rPr>
          <w:rFonts w:ascii="Arial" w:hAnsi="Arial" w:cs="Arial"/>
          <w:b/>
        </w:rPr>
        <w:t>23</w:t>
      </w:r>
      <w:r w:rsidRPr="00F80945">
        <w:rPr>
          <w:rFonts w:ascii="Arial" w:hAnsi="Arial" w:cs="Arial"/>
        </w:rPr>
        <w:t>, 184-188.</w:t>
      </w:r>
    </w:p>
    <w:p w:rsidR="00F80945" w:rsidRPr="005B194D" w:rsidRDefault="00F80945" w:rsidP="00F80945">
      <w:pPr>
        <w:jc w:val="both"/>
        <w:rPr>
          <w:rFonts w:ascii="Arial" w:hAnsi="Arial" w:cs="Arial"/>
        </w:rPr>
      </w:pPr>
    </w:p>
    <w:p w:rsidR="00F80945" w:rsidRPr="005B194D" w:rsidRDefault="00F80945" w:rsidP="00F80945">
      <w:pPr>
        <w:jc w:val="both"/>
        <w:rPr>
          <w:rFonts w:ascii="Arial" w:hAnsi="Arial" w:cs="Arial"/>
        </w:rPr>
      </w:pPr>
      <w:r w:rsidRPr="005B194D">
        <w:rPr>
          <w:rFonts w:ascii="Arial" w:hAnsi="Arial" w:cs="Arial"/>
        </w:rPr>
        <w:t xml:space="preserve">Pinto, C. De M., </w:t>
      </w:r>
      <w:proofErr w:type="spellStart"/>
      <w:r w:rsidRPr="005B194D">
        <w:rPr>
          <w:rFonts w:ascii="Arial" w:hAnsi="Arial" w:cs="Arial"/>
        </w:rPr>
        <w:t>Sizenando</w:t>
      </w:r>
      <w:proofErr w:type="spellEnd"/>
      <w:r w:rsidRPr="005B194D">
        <w:rPr>
          <w:rFonts w:ascii="Arial" w:hAnsi="Arial" w:cs="Arial"/>
        </w:rPr>
        <w:t xml:space="preserve">, Filho, F.A., Cysne, J.R.B., Pitombeira, J.B.(2011). Produtividade e índices de competição da mamona consorciada com gergelim, algodão, milho e feijão </w:t>
      </w:r>
      <w:proofErr w:type="spellStart"/>
      <w:r w:rsidRPr="005B194D">
        <w:rPr>
          <w:rFonts w:ascii="Arial" w:hAnsi="Arial" w:cs="Arial"/>
        </w:rPr>
        <w:t>caupi</w:t>
      </w:r>
      <w:proofErr w:type="spellEnd"/>
      <w:r w:rsidRPr="005B194D">
        <w:rPr>
          <w:rFonts w:ascii="Arial" w:hAnsi="Arial" w:cs="Arial"/>
        </w:rPr>
        <w:t xml:space="preserve">. </w:t>
      </w:r>
      <w:r w:rsidRPr="005B194D">
        <w:rPr>
          <w:rFonts w:ascii="Arial" w:hAnsi="Arial" w:cs="Arial"/>
          <w:i/>
        </w:rPr>
        <w:t>Revista Verde de Agroecologia e Desenvolvimento Sustentável</w:t>
      </w:r>
      <w:r w:rsidRPr="005B194D">
        <w:rPr>
          <w:rFonts w:ascii="Arial" w:hAnsi="Arial" w:cs="Arial"/>
        </w:rPr>
        <w:t xml:space="preserve"> </w:t>
      </w:r>
      <w:r w:rsidRPr="005B194D">
        <w:rPr>
          <w:rFonts w:ascii="Arial" w:hAnsi="Arial" w:cs="Arial"/>
          <w:b/>
        </w:rPr>
        <w:t>6</w:t>
      </w:r>
      <w:r w:rsidRPr="005B194D">
        <w:rPr>
          <w:rFonts w:ascii="Arial" w:hAnsi="Arial" w:cs="Arial"/>
        </w:rPr>
        <w:t xml:space="preserve">, 75-85 </w:t>
      </w:r>
    </w:p>
    <w:p w:rsidR="00F80945" w:rsidRPr="005B194D" w:rsidRDefault="00F80945" w:rsidP="00F80945">
      <w:pPr>
        <w:jc w:val="both"/>
        <w:rPr>
          <w:rFonts w:ascii="Arial" w:hAnsi="Arial" w:cs="Arial"/>
        </w:rPr>
      </w:pPr>
    </w:p>
    <w:p w:rsidR="00C51236" w:rsidRPr="00B7102D" w:rsidRDefault="00C51236" w:rsidP="00EC6E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32"/>
        </w:rPr>
      </w:pPr>
      <w:proofErr w:type="spellStart"/>
      <w:r w:rsidRPr="00B7102D">
        <w:rPr>
          <w:rFonts w:ascii="Arial" w:hAnsi="Arial" w:cs="Arial"/>
          <w:color w:val="000000"/>
          <w:szCs w:val="32"/>
        </w:rPr>
        <w:t>R</w:t>
      </w:r>
      <w:r>
        <w:rPr>
          <w:rFonts w:ascii="Arial" w:hAnsi="Arial" w:cs="Arial"/>
          <w:color w:val="000000"/>
          <w:szCs w:val="32"/>
        </w:rPr>
        <w:t>aij</w:t>
      </w:r>
      <w:proofErr w:type="spellEnd"/>
      <w:r w:rsidRPr="00B7102D">
        <w:rPr>
          <w:rFonts w:ascii="Arial" w:hAnsi="Arial" w:cs="Arial"/>
          <w:color w:val="000000"/>
          <w:szCs w:val="32"/>
        </w:rPr>
        <w:t xml:space="preserve">, B. </w:t>
      </w:r>
      <w:proofErr w:type="gramStart"/>
      <w:r w:rsidRPr="00B7102D">
        <w:rPr>
          <w:rFonts w:ascii="Arial" w:hAnsi="Arial" w:cs="Arial"/>
          <w:color w:val="000000"/>
          <w:szCs w:val="32"/>
        </w:rPr>
        <w:t>Van</w:t>
      </w:r>
      <w:r>
        <w:rPr>
          <w:rFonts w:ascii="Arial" w:hAnsi="Arial" w:cs="Arial"/>
          <w:color w:val="000000"/>
          <w:szCs w:val="32"/>
        </w:rPr>
        <w:t>.,</w:t>
      </w:r>
      <w:proofErr w:type="gramEnd"/>
      <w:r w:rsidRPr="00B7102D">
        <w:rPr>
          <w:rFonts w:ascii="Arial" w:hAnsi="Arial" w:cs="Arial"/>
          <w:color w:val="000000"/>
          <w:szCs w:val="32"/>
        </w:rPr>
        <w:t xml:space="preserve"> </w:t>
      </w:r>
      <w:proofErr w:type="spellStart"/>
      <w:r w:rsidRPr="00B7102D">
        <w:rPr>
          <w:rFonts w:ascii="Arial" w:hAnsi="Arial" w:cs="Arial"/>
          <w:color w:val="000000"/>
          <w:szCs w:val="32"/>
        </w:rPr>
        <w:t>Q</w:t>
      </w:r>
      <w:r>
        <w:rPr>
          <w:rFonts w:ascii="Arial" w:hAnsi="Arial" w:cs="Arial"/>
          <w:color w:val="000000"/>
          <w:szCs w:val="32"/>
        </w:rPr>
        <w:t>uaggio</w:t>
      </w:r>
      <w:proofErr w:type="spellEnd"/>
      <w:r>
        <w:rPr>
          <w:rFonts w:ascii="Arial" w:hAnsi="Arial" w:cs="Arial"/>
          <w:color w:val="000000"/>
          <w:szCs w:val="32"/>
        </w:rPr>
        <w:t>, J.A.,</w:t>
      </w:r>
      <w:r w:rsidRPr="00B7102D">
        <w:rPr>
          <w:rFonts w:ascii="Arial" w:hAnsi="Arial" w:cs="Arial"/>
          <w:color w:val="000000"/>
          <w:szCs w:val="32"/>
        </w:rPr>
        <w:t xml:space="preserve"> </w:t>
      </w:r>
      <w:proofErr w:type="spellStart"/>
      <w:r w:rsidRPr="00B7102D">
        <w:rPr>
          <w:rFonts w:ascii="Arial" w:hAnsi="Arial" w:cs="Arial"/>
          <w:color w:val="000000"/>
          <w:szCs w:val="32"/>
        </w:rPr>
        <w:t>C</w:t>
      </w:r>
      <w:r>
        <w:rPr>
          <w:rFonts w:ascii="Arial" w:hAnsi="Arial" w:cs="Arial"/>
          <w:color w:val="000000"/>
          <w:szCs w:val="32"/>
        </w:rPr>
        <w:t>antarella</w:t>
      </w:r>
      <w:proofErr w:type="spellEnd"/>
      <w:r>
        <w:rPr>
          <w:rFonts w:ascii="Arial" w:hAnsi="Arial" w:cs="Arial"/>
          <w:color w:val="000000"/>
          <w:szCs w:val="32"/>
        </w:rPr>
        <w:t>, H.,</w:t>
      </w:r>
      <w:r w:rsidRPr="00B7102D">
        <w:rPr>
          <w:rFonts w:ascii="Arial" w:hAnsi="Arial" w:cs="Arial"/>
          <w:color w:val="000000"/>
          <w:szCs w:val="32"/>
        </w:rPr>
        <w:t xml:space="preserve"> A</w:t>
      </w:r>
      <w:r>
        <w:rPr>
          <w:rFonts w:ascii="Arial" w:hAnsi="Arial" w:cs="Arial"/>
          <w:color w:val="000000"/>
          <w:szCs w:val="32"/>
        </w:rPr>
        <w:t>breu</w:t>
      </w:r>
      <w:r w:rsidRPr="00B7102D">
        <w:rPr>
          <w:rFonts w:ascii="Arial" w:hAnsi="Arial" w:cs="Arial"/>
          <w:color w:val="000000"/>
          <w:szCs w:val="32"/>
        </w:rPr>
        <w:t>, C.A.</w:t>
      </w:r>
      <w:r>
        <w:rPr>
          <w:rFonts w:ascii="Arial" w:hAnsi="Arial" w:cs="Arial"/>
          <w:color w:val="000000"/>
          <w:szCs w:val="32"/>
        </w:rPr>
        <w:t xml:space="preserve"> </w:t>
      </w:r>
      <w:r w:rsidRPr="00B7102D">
        <w:rPr>
          <w:rFonts w:ascii="Arial" w:hAnsi="Arial" w:cs="Arial"/>
          <w:color w:val="000000"/>
          <w:szCs w:val="32"/>
        </w:rPr>
        <w:t>de.</w:t>
      </w:r>
      <w:r>
        <w:rPr>
          <w:rFonts w:ascii="Arial" w:hAnsi="Arial" w:cs="Arial"/>
          <w:color w:val="000000"/>
          <w:szCs w:val="32"/>
        </w:rPr>
        <w:t xml:space="preserve"> (1997).</w:t>
      </w:r>
      <w:r w:rsidRPr="00B7102D">
        <w:rPr>
          <w:rFonts w:ascii="Arial" w:hAnsi="Arial" w:cs="Arial"/>
          <w:color w:val="000000"/>
          <w:szCs w:val="32"/>
        </w:rPr>
        <w:t xml:space="preserve"> Recomendações de adubação e calagem para o estado de São Paulo</w:t>
      </w:r>
      <w:r>
        <w:rPr>
          <w:rFonts w:ascii="Arial" w:hAnsi="Arial" w:cs="Arial"/>
          <w:color w:val="000000"/>
          <w:szCs w:val="32"/>
        </w:rPr>
        <w:t>.</w:t>
      </w:r>
      <w:r w:rsidRPr="00B7102D">
        <w:rPr>
          <w:rFonts w:ascii="Arial" w:hAnsi="Arial" w:cs="Arial"/>
          <w:color w:val="000000"/>
          <w:szCs w:val="32"/>
        </w:rPr>
        <w:t xml:space="preserve"> </w:t>
      </w:r>
      <w:r w:rsidRPr="00B7102D">
        <w:rPr>
          <w:rFonts w:ascii="Arial" w:hAnsi="Arial" w:cs="Arial"/>
          <w:i/>
          <w:color w:val="000000"/>
          <w:szCs w:val="32"/>
        </w:rPr>
        <w:t>Instituto</w:t>
      </w:r>
      <w:r w:rsidR="00EC6ECE">
        <w:rPr>
          <w:rFonts w:ascii="Arial" w:hAnsi="Arial" w:cs="Arial"/>
          <w:i/>
          <w:color w:val="000000"/>
          <w:szCs w:val="32"/>
        </w:rPr>
        <w:t xml:space="preserve"> </w:t>
      </w:r>
      <w:r w:rsidRPr="00B7102D">
        <w:rPr>
          <w:rFonts w:ascii="Arial" w:hAnsi="Arial" w:cs="Arial"/>
          <w:i/>
          <w:color w:val="000000"/>
          <w:szCs w:val="32"/>
        </w:rPr>
        <w:t>Agronômico/Fundação</w:t>
      </w:r>
      <w:r>
        <w:rPr>
          <w:rFonts w:ascii="Arial" w:hAnsi="Arial" w:cs="Arial"/>
          <w:color w:val="000000"/>
          <w:szCs w:val="32"/>
        </w:rPr>
        <w:t xml:space="preserve">, </w:t>
      </w:r>
      <w:r w:rsidRPr="00B7102D">
        <w:rPr>
          <w:rFonts w:ascii="Arial" w:hAnsi="Arial" w:cs="Arial"/>
          <w:color w:val="000000"/>
          <w:szCs w:val="32"/>
        </w:rPr>
        <w:t>8-13</w:t>
      </w:r>
      <w:r>
        <w:rPr>
          <w:rFonts w:ascii="Arial" w:hAnsi="Arial" w:cs="Arial"/>
          <w:color w:val="000000"/>
          <w:szCs w:val="32"/>
        </w:rPr>
        <w:t>.</w:t>
      </w:r>
    </w:p>
    <w:p w:rsidR="00C51236" w:rsidRDefault="00C51236" w:rsidP="00F80945">
      <w:pPr>
        <w:jc w:val="both"/>
        <w:rPr>
          <w:rFonts w:ascii="Arial" w:hAnsi="Arial" w:cs="Arial"/>
        </w:rPr>
      </w:pPr>
    </w:p>
    <w:p w:rsidR="00F80945" w:rsidRPr="005B194D" w:rsidRDefault="00F80945" w:rsidP="00F80945">
      <w:pPr>
        <w:jc w:val="both"/>
        <w:rPr>
          <w:rFonts w:ascii="Arial" w:hAnsi="Arial" w:cs="Arial"/>
        </w:rPr>
      </w:pPr>
      <w:r w:rsidRPr="005B194D">
        <w:rPr>
          <w:rFonts w:ascii="Arial" w:hAnsi="Arial" w:cs="Arial"/>
        </w:rPr>
        <w:t xml:space="preserve">Viegas Neto, A.L., Heinz, R., Gonçalves, M.C., Correia, A.M.P., Mota, L.H. De S., Araújo, W.D. (2012). Milho pipoca consorciado com feijão em diferentes arranjos de plantas. </w:t>
      </w:r>
      <w:r w:rsidRPr="005B194D">
        <w:rPr>
          <w:rFonts w:ascii="Arial" w:hAnsi="Arial" w:cs="Arial"/>
          <w:i/>
        </w:rPr>
        <w:t>Pesquisa Agropecuária Tropical</w:t>
      </w:r>
      <w:r w:rsidRPr="005B194D">
        <w:rPr>
          <w:rFonts w:ascii="Arial" w:hAnsi="Arial" w:cs="Arial"/>
        </w:rPr>
        <w:t xml:space="preserve"> </w:t>
      </w:r>
      <w:r w:rsidRPr="005B194D">
        <w:rPr>
          <w:rFonts w:ascii="Arial" w:hAnsi="Arial" w:cs="Arial"/>
          <w:b/>
        </w:rPr>
        <w:t>42</w:t>
      </w:r>
      <w:r w:rsidRPr="005B194D">
        <w:rPr>
          <w:rFonts w:ascii="Arial" w:hAnsi="Arial" w:cs="Arial"/>
        </w:rPr>
        <w:t xml:space="preserve">, 28-33. </w:t>
      </w:r>
    </w:p>
    <w:p w:rsidR="00F80945" w:rsidRDefault="00F80945" w:rsidP="00F80945">
      <w:pPr>
        <w:jc w:val="both"/>
      </w:pPr>
    </w:p>
    <w:p w:rsidR="00071D7A" w:rsidRDefault="00071D7A" w:rsidP="00F80945"/>
    <w:p w:rsidR="00A32279" w:rsidRPr="00F80945" w:rsidRDefault="00A32279" w:rsidP="00F80945"/>
    <w:sectPr w:rsidR="00A32279" w:rsidRPr="00F80945" w:rsidSect="000F18A1">
      <w:headerReference w:type="default" r:id="rId7"/>
      <w:footerReference w:type="default" r:id="rId8"/>
      <w:pgSz w:w="11906" w:h="16838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85F" w:rsidRDefault="00A4385F" w:rsidP="006A0247">
      <w:r>
        <w:separator/>
      </w:r>
    </w:p>
  </w:endnote>
  <w:endnote w:type="continuationSeparator" w:id="0">
    <w:p w:rsidR="00A4385F" w:rsidRDefault="00A4385F" w:rsidP="006A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C58" w:rsidRDefault="005020D0">
    <w:pPr>
      <w:pStyle w:val="Rodap"/>
    </w:pPr>
    <w:r>
      <w:rPr>
        <w:noProof/>
        <w:lang w:eastAsia="pt-BR"/>
      </w:rPr>
      <w:drawing>
        <wp:inline distT="0" distB="0" distL="0" distR="0">
          <wp:extent cx="5753100" cy="904875"/>
          <wp:effectExtent l="0" t="0" r="0" b="9525"/>
          <wp:docPr id="2" name="Imagem 2" descr="rodape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e_II_EAIC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85F" w:rsidRDefault="00A4385F" w:rsidP="006A0247">
      <w:r>
        <w:separator/>
      </w:r>
    </w:p>
  </w:footnote>
  <w:footnote w:type="continuationSeparator" w:id="0">
    <w:p w:rsidR="00A4385F" w:rsidRDefault="00A4385F" w:rsidP="006A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C58" w:rsidRDefault="005020D0">
    <w:pPr>
      <w:pStyle w:val="Cabealho"/>
    </w:pPr>
    <w:r>
      <w:rPr>
        <w:noProof/>
        <w:lang w:eastAsia="pt-BR"/>
      </w:rPr>
      <w:drawing>
        <wp:inline distT="0" distB="0" distL="0" distR="0">
          <wp:extent cx="5753100" cy="1343025"/>
          <wp:effectExtent l="0" t="0" r="0" b="9525"/>
          <wp:docPr id="1" name="Imagem 1" descr="cabecalho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II_EAIC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45"/>
    <w:rsid w:val="000005D1"/>
    <w:rsid w:val="00013164"/>
    <w:rsid w:val="00071D7A"/>
    <w:rsid w:val="00083ED0"/>
    <w:rsid w:val="00090A6D"/>
    <w:rsid w:val="000B78F5"/>
    <w:rsid w:val="00140325"/>
    <w:rsid w:val="001D5553"/>
    <w:rsid w:val="00200026"/>
    <w:rsid w:val="002424B9"/>
    <w:rsid w:val="00254BC6"/>
    <w:rsid w:val="002E0B0C"/>
    <w:rsid w:val="003701CB"/>
    <w:rsid w:val="00390DCB"/>
    <w:rsid w:val="00394685"/>
    <w:rsid w:val="003D5510"/>
    <w:rsid w:val="00406380"/>
    <w:rsid w:val="00460F0C"/>
    <w:rsid w:val="004A0F9E"/>
    <w:rsid w:val="004B47AA"/>
    <w:rsid w:val="004E1D38"/>
    <w:rsid w:val="00500F10"/>
    <w:rsid w:val="005020D0"/>
    <w:rsid w:val="005B67BB"/>
    <w:rsid w:val="00623409"/>
    <w:rsid w:val="00631CB8"/>
    <w:rsid w:val="006538A9"/>
    <w:rsid w:val="006A0247"/>
    <w:rsid w:val="006C2AA8"/>
    <w:rsid w:val="006E4021"/>
    <w:rsid w:val="00712384"/>
    <w:rsid w:val="00745908"/>
    <w:rsid w:val="00780A30"/>
    <w:rsid w:val="007B2C17"/>
    <w:rsid w:val="007E1126"/>
    <w:rsid w:val="007F7149"/>
    <w:rsid w:val="0083452A"/>
    <w:rsid w:val="008E1987"/>
    <w:rsid w:val="00903D71"/>
    <w:rsid w:val="009C5C32"/>
    <w:rsid w:val="009D6BEF"/>
    <w:rsid w:val="009E4DFB"/>
    <w:rsid w:val="00A31F61"/>
    <w:rsid w:val="00A32279"/>
    <w:rsid w:val="00A4385F"/>
    <w:rsid w:val="00AC299D"/>
    <w:rsid w:val="00AC5FF8"/>
    <w:rsid w:val="00AF5E54"/>
    <w:rsid w:val="00BD59E9"/>
    <w:rsid w:val="00C51236"/>
    <w:rsid w:val="00C75645"/>
    <w:rsid w:val="00C77E59"/>
    <w:rsid w:val="00D44396"/>
    <w:rsid w:val="00D6089C"/>
    <w:rsid w:val="00DB02D9"/>
    <w:rsid w:val="00DE783D"/>
    <w:rsid w:val="00E0592A"/>
    <w:rsid w:val="00E11706"/>
    <w:rsid w:val="00E82037"/>
    <w:rsid w:val="00EC6ECE"/>
    <w:rsid w:val="00EF6409"/>
    <w:rsid w:val="00F35087"/>
    <w:rsid w:val="00F542F2"/>
    <w:rsid w:val="00F56A9C"/>
    <w:rsid w:val="00F8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662E9C-1520-4A38-9C4C-A94657D6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9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8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809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09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809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09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rsid w:val="00F80945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80945"/>
  </w:style>
  <w:style w:type="paragraph" w:customStyle="1" w:styleId="Default">
    <w:name w:val="Default"/>
    <w:rsid w:val="00F8094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sid w:val="00F809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8094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809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09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0945"/>
    <w:rPr>
      <w:rFonts w:ascii="Tahoma" w:eastAsia="Times New Roman" w:hAnsi="Tahoma" w:cs="Tahoma"/>
      <w:sz w:val="16"/>
      <w:szCs w:val="16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55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55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nheiro@unioeste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1875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Insano</dc:creator>
  <cp:lastModifiedBy>Andreia Herdies</cp:lastModifiedBy>
  <cp:revision>2</cp:revision>
  <dcterms:created xsi:type="dcterms:W3CDTF">2016-08-25T18:23:00Z</dcterms:created>
  <dcterms:modified xsi:type="dcterms:W3CDTF">2016-08-25T18:23:00Z</dcterms:modified>
</cp:coreProperties>
</file>