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A3" w:rsidRPr="00D444A3" w:rsidRDefault="0077161E" w:rsidP="007716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 MO</w:t>
      </w:r>
      <w:r w:rsidRPr="00D444A3">
        <w:rPr>
          <w:rFonts w:ascii="Arial" w:hAnsi="Arial" w:cs="Arial"/>
          <w:b/>
        </w:rPr>
        <w:t>RFOMÉTRIC</w:t>
      </w:r>
      <w:r>
        <w:rPr>
          <w:rFonts w:ascii="Arial" w:hAnsi="Arial" w:cs="Arial"/>
          <w:b/>
        </w:rPr>
        <w:t>A</w:t>
      </w:r>
      <w:r w:rsidRPr="00D444A3">
        <w:rPr>
          <w:rFonts w:ascii="Arial" w:hAnsi="Arial" w:cs="Arial"/>
          <w:b/>
        </w:rPr>
        <w:t xml:space="preserve"> DAS VARICOSIDADES DAS FIBRAS NERVOSAS</w:t>
      </w:r>
      <w:r>
        <w:rPr>
          <w:rFonts w:ascii="Arial" w:hAnsi="Arial" w:cs="Arial"/>
          <w:b/>
        </w:rPr>
        <w:t xml:space="preserve"> MIOENTÉRICAS</w:t>
      </w:r>
      <w:r w:rsidRPr="00D444A3">
        <w:rPr>
          <w:rFonts w:ascii="Arial" w:hAnsi="Arial" w:cs="Arial"/>
          <w:b/>
        </w:rPr>
        <w:t xml:space="preserve"> IMUNORREATIVAS AO CGRP DO ÍLEO DE RATOS </w:t>
      </w:r>
      <w:r>
        <w:rPr>
          <w:rFonts w:ascii="Arial" w:hAnsi="Arial" w:cs="Arial"/>
          <w:b/>
        </w:rPr>
        <w:t xml:space="preserve">EM MODELO EXPERIMENTAL DE CÂNCER </w:t>
      </w:r>
    </w:p>
    <w:p w:rsidR="00FE0A87" w:rsidRDefault="00FE0A87" w:rsidP="00FE0A87">
      <w:pPr>
        <w:jc w:val="center"/>
      </w:pPr>
    </w:p>
    <w:p w:rsidR="00FE0A87" w:rsidRDefault="00D3241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Jaqueline Janaina </w:t>
      </w:r>
      <w:proofErr w:type="spellStart"/>
      <w:r>
        <w:rPr>
          <w:rFonts w:ascii="Arial" w:hAnsi="Arial" w:cs="Arial"/>
        </w:rPr>
        <w:t>Jumes</w:t>
      </w:r>
      <w:proofErr w:type="spellEnd"/>
      <w:r w:rsidR="009D0A74">
        <w:rPr>
          <w:rFonts w:ascii="Arial" w:hAnsi="Arial" w:cs="Arial"/>
        </w:rPr>
        <w:t xml:space="preserve"> (P</w:t>
      </w:r>
      <w:r w:rsidR="0066481D">
        <w:rPr>
          <w:rFonts w:ascii="Arial" w:hAnsi="Arial" w:cs="Arial"/>
        </w:rPr>
        <w:t>IC</w:t>
      </w:r>
      <w:r w:rsidR="009D0A74">
        <w:rPr>
          <w:rFonts w:ascii="Arial" w:hAnsi="Arial" w:cs="Arial"/>
        </w:rPr>
        <w:t>VAF</w:t>
      </w:r>
      <w:r w:rsidR="00FE0A87">
        <w:rPr>
          <w:rFonts w:ascii="Arial" w:hAnsi="Arial" w:cs="Arial"/>
        </w:rPr>
        <w:t xml:space="preserve">), </w:t>
      </w:r>
      <w:proofErr w:type="spellStart"/>
      <w:r w:rsidR="002964C4" w:rsidRPr="002964C4">
        <w:rPr>
          <w:rFonts w:ascii="Arial" w:hAnsi="Arial" w:cs="Arial"/>
        </w:rPr>
        <w:t>Adma</w:t>
      </w:r>
      <w:proofErr w:type="spellEnd"/>
      <w:r w:rsidR="002964C4" w:rsidRPr="002964C4">
        <w:rPr>
          <w:rFonts w:ascii="Arial" w:hAnsi="Arial" w:cs="Arial"/>
        </w:rPr>
        <w:t xml:space="preserve"> Poliana de Borba </w:t>
      </w:r>
      <w:proofErr w:type="spellStart"/>
      <w:r w:rsidR="002964C4" w:rsidRPr="002964C4">
        <w:rPr>
          <w:rFonts w:ascii="Arial" w:hAnsi="Arial" w:cs="Arial"/>
        </w:rPr>
        <w:t>Cecilio</w:t>
      </w:r>
      <w:proofErr w:type="spellEnd"/>
      <w:r w:rsidR="002964C4" w:rsidRPr="002964C4">
        <w:rPr>
          <w:rFonts w:ascii="Arial" w:hAnsi="Arial" w:cs="Arial"/>
        </w:rPr>
        <w:t xml:space="preserve"> da Silva</w:t>
      </w:r>
      <w:r w:rsidR="005B3C56">
        <w:rPr>
          <w:rFonts w:ascii="Arial" w:hAnsi="Arial" w:cs="Arial"/>
        </w:rPr>
        <w:t xml:space="preserve"> (CNPq)</w:t>
      </w:r>
      <w:r w:rsidR="002964C4" w:rsidRPr="002964C4">
        <w:rPr>
          <w:rFonts w:ascii="Arial" w:hAnsi="Arial" w:cs="Arial"/>
        </w:rPr>
        <w:t>,</w:t>
      </w:r>
      <w:r w:rsidR="00D20DAD">
        <w:rPr>
          <w:rFonts w:ascii="Arial" w:hAnsi="Arial" w:cs="Arial"/>
        </w:rPr>
        <w:t xml:space="preserve"> </w:t>
      </w:r>
      <w:r w:rsidR="00591DA5">
        <w:rPr>
          <w:rFonts w:ascii="Arial" w:hAnsi="Arial" w:cs="Arial"/>
        </w:rPr>
        <w:t xml:space="preserve">Luiz Felipe Becker (PICV) </w:t>
      </w:r>
      <w:r w:rsidR="0066481D" w:rsidRPr="0066481D">
        <w:rPr>
          <w:rFonts w:ascii="Arial" w:hAnsi="Arial" w:cs="Arial"/>
        </w:rPr>
        <w:t>Geraldo Emílio Vicentini</w:t>
      </w:r>
      <w:r w:rsidR="0066481D">
        <w:rPr>
          <w:rFonts w:ascii="Arial" w:hAnsi="Arial" w:cs="Arial"/>
        </w:rPr>
        <w:t xml:space="preserve"> </w:t>
      </w:r>
      <w:r w:rsidR="00FE0A87">
        <w:rPr>
          <w:rFonts w:ascii="Arial" w:hAnsi="Arial" w:cs="Arial"/>
        </w:rPr>
        <w:t xml:space="preserve">(Orientador), e-mail: </w:t>
      </w:r>
      <w:r w:rsidR="0066481D" w:rsidRPr="0066481D">
        <w:rPr>
          <w:rFonts w:ascii="Arial" w:hAnsi="Arial" w:cs="Arial"/>
          <w:color w:val="000000"/>
          <w:shd w:val="clear" w:color="auto" w:fill="FFFFFF"/>
        </w:rPr>
        <w:t>gevicentini@yahoo.com.br</w:t>
      </w:r>
      <w:r w:rsidR="00FE0A87" w:rsidRPr="0066481D">
        <w:rPr>
          <w:rFonts w:ascii="Arial" w:hAnsi="Arial" w:cs="Arial"/>
        </w:rPr>
        <w:t>.</w:t>
      </w:r>
      <w:r w:rsidR="00FE0A87">
        <w:rPr>
          <w:rFonts w:ascii="Arial" w:hAnsi="Arial" w:cs="Arial"/>
        </w:rPr>
        <w:t xml:space="preserve"> </w:t>
      </w:r>
    </w:p>
    <w:p w:rsidR="00FE0A87" w:rsidRDefault="00FE0A87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</w:t>
      </w:r>
      <w:r w:rsidRPr="009C5975">
        <w:rPr>
          <w:rFonts w:ascii="Arial" w:hAnsi="Arial" w:cs="Arial"/>
          <w:color w:val="000000" w:themeColor="text1"/>
        </w:rPr>
        <w:t>/Centro de Ciências da Saúde</w:t>
      </w:r>
      <w:r>
        <w:rPr>
          <w:rFonts w:ascii="Arial" w:hAnsi="Arial" w:cs="Arial"/>
        </w:rPr>
        <w:t>/</w:t>
      </w:r>
      <w:r w:rsidR="0066481D">
        <w:rPr>
          <w:rFonts w:ascii="Arial" w:hAnsi="Arial" w:cs="Arial"/>
        </w:rPr>
        <w:t>Francisco Beltrão</w:t>
      </w:r>
      <w:r>
        <w:rPr>
          <w:rFonts w:ascii="Arial" w:hAnsi="Arial" w:cs="Arial"/>
        </w:rPr>
        <w:t xml:space="preserve">, PR. </w:t>
      </w:r>
    </w:p>
    <w:p w:rsidR="00FE0A87" w:rsidRDefault="00FE0A87" w:rsidP="00FE0A87"/>
    <w:p w:rsidR="009C5975" w:rsidRPr="00BB5421" w:rsidRDefault="009C5975" w:rsidP="009C59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 e subárea: </w:t>
      </w:r>
      <w:r w:rsidR="008D696F">
        <w:rPr>
          <w:rFonts w:ascii="Arial" w:hAnsi="Arial" w:cs="Arial"/>
        </w:rPr>
        <w:t>Ciências biológicas/ Morfologia</w:t>
      </w:r>
      <w:bookmarkStart w:id="0" w:name="_GoBack"/>
      <w:bookmarkEnd w:id="0"/>
    </w:p>
    <w:p w:rsidR="009C5975" w:rsidRDefault="009C5975" w:rsidP="009C5975">
      <w:pPr>
        <w:jc w:val="both"/>
      </w:pPr>
    </w:p>
    <w:p w:rsidR="009C5975" w:rsidRDefault="009C5975" w:rsidP="009C5975">
      <w:pPr>
        <w:jc w:val="both"/>
      </w:pPr>
      <w:r>
        <w:rPr>
          <w:rFonts w:ascii="Arial" w:hAnsi="Arial" w:cs="Arial"/>
          <w:b/>
        </w:rPr>
        <w:t xml:space="preserve">Palavras-chave: </w:t>
      </w:r>
      <w:r w:rsidRPr="009C5975">
        <w:rPr>
          <w:rFonts w:ascii="Arial" w:hAnsi="Arial" w:cs="Arial"/>
        </w:rPr>
        <w:t>s</w:t>
      </w:r>
      <w:r w:rsidRPr="00D922DD">
        <w:rPr>
          <w:rFonts w:ascii="Arial" w:hAnsi="Arial" w:cs="Arial"/>
        </w:rPr>
        <w:t xml:space="preserve">istema nervoso entérico; </w:t>
      </w:r>
      <w:r>
        <w:rPr>
          <w:rFonts w:ascii="Arial" w:hAnsi="Arial" w:cs="Arial"/>
        </w:rPr>
        <w:t>câncer</w:t>
      </w:r>
      <w:r>
        <w:rPr>
          <w:rFonts w:ascii="Arial" w:hAnsi="Arial" w:cs="Arial"/>
          <w:b/>
        </w:rPr>
        <w:t xml:space="preserve">; </w:t>
      </w:r>
      <w:r w:rsidR="00A166A7">
        <w:rPr>
          <w:rFonts w:ascii="Arial" w:hAnsi="Arial" w:cs="Arial"/>
        </w:rPr>
        <w:t xml:space="preserve">peptídeo relacionado ao gene </w:t>
      </w:r>
      <w:r w:rsidR="004959AF">
        <w:rPr>
          <w:rFonts w:ascii="Arial" w:hAnsi="Arial" w:cs="Arial"/>
        </w:rPr>
        <w:t xml:space="preserve">da </w:t>
      </w:r>
      <w:proofErr w:type="gramStart"/>
      <w:r w:rsidR="004959AF">
        <w:rPr>
          <w:rFonts w:ascii="Arial" w:hAnsi="Arial" w:cs="Arial"/>
        </w:rPr>
        <w:t>calcitoni</w:t>
      </w:r>
      <w:r w:rsidR="002400AD">
        <w:rPr>
          <w:rFonts w:ascii="Arial" w:hAnsi="Arial" w:cs="Arial"/>
        </w:rPr>
        <w:t>n</w:t>
      </w:r>
      <w:r w:rsidR="004959AF">
        <w:rPr>
          <w:rFonts w:ascii="Arial" w:hAnsi="Arial" w:cs="Arial"/>
        </w:rPr>
        <w:t>a</w:t>
      </w:r>
      <w:proofErr w:type="gramEnd"/>
    </w:p>
    <w:p w:rsidR="009C5975" w:rsidRDefault="009C5975" w:rsidP="009C5975">
      <w:pPr>
        <w:jc w:val="both"/>
        <w:rPr>
          <w:rFonts w:ascii="Arial" w:hAnsi="Arial" w:cs="Arial"/>
          <w:b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7825E2" w:rsidRDefault="004821B6" w:rsidP="004B17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0AD" w:rsidRPr="00A2521F">
        <w:rPr>
          <w:rFonts w:ascii="Arial" w:hAnsi="Arial" w:cs="Arial"/>
        </w:rPr>
        <w:t xml:space="preserve"> tumo</w:t>
      </w:r>
      <w:r w:rsidR="002400AD">
        <w:rPr>
          <w:rFonts w:ascii="Arial" w:hAnsi="Arial" w:cs="Arial"/>
        </w:rPr>
        <w:t>r Walker-256 em ratos</w:t>
      </w:r>
      <w:r w:rsidR="002400AD" w:rsidRPr="00A2521F">
        <w:rPr>
          <w:rFonts w:ascii="Arial" w:hAnsi="Arial" w:cs="Arial"/>
        </w:rPr>
        <w:t xml:space="preserve"> é </w:t>
      </w:r>
      <w:r w:rsidR="00D116CC">
        <w:rPr>
          <w:rFonts w:ascii="Arial" w:hAnsi="Arial" w:cs="Arial"/>
        </w:rPr>
        <w:t>considerado</w:t>
      </w:r>
      <w:r w:rsidR="002400AD" w:rsidRPr="00A2521F">
        <w:rPr>
          <w:rFonts w:ascii="Arial" w:hAnsi="Arial" w:cs="Arial"/>
        </w:rPr>
        <w:t xml:space="preserve"> um modelo experimental</w:t>
      </w:r>
      <w:r w:rsidR="00106D7F">
        <w:rPr>
          <w:rFonts w:ascii="Arial" w:hAnsi="Arial" w:cs="Arial"/>
        </w:rPr>
        <w:t xml:space="preserve"> para o </w:t>
      </w:r>
      <w:r w:rsidR="004B177A">
        <w:rPr>
          <w:rFonts w:ascii="Arial" w:hAnsi="Arial" w:cs="Arial"/>
        </w:rPr>
        <w:t>estudo da síndrome da caquexia</w:t>
      </w:r>
      <w:r w:rsidR="007C42CB">
        <w:rPr>
          <w:rFonts w:ascii="Arial" w:hAnsi="Arial" w:cs="Arial"/>
        </w:rPr>
        <w:t>. O estresse oxidativo</w:t>
      </w:r>
      <w:r w:rsidR="004B177A">
        <w:rPr>
          <w:rFonts w:ascii="Arial" w:hAnsi="Arial" w:cs="Arial"/>
        </w:rPr>
        <w:t xml:space="preserve"> associado </w:t>
      </w:r>
      <w:r w:rsidR="00D116CC">
        <w:rPr>
          <w:rFonts w:ascii="Arial" w:hAnsi="Arial" w:cs="Arial"/>
        </w:rPr>
        <w:t>ao câncer pode levar a</w:t>
      </w:r>
      <w:r w:rsidR="00106D7F">
        <w:rPr>
          <w:rFonts w:ascii="Arial" w:hAnsi="Arial" w:cs="Arial"/>
        </w:rPr>
        <w:t xml:space="preserve"> distúrbios do</w:t>
      </w:r>
      <w:r w:rsidR="002400AD">
        <w:rPr>
          <w:rFonts w:ascii="Arial" w:hAnsi="Arial" w:cs="Arial"/>
        </w:rPr>
        <w:t xml:space="preserve"> trato gastro</w:t>
      </w:r>
      <w:r w:rsidR="002400AD" w:rsidRPr="00A2521F">
        <w:rPr>
          <w:rFonts w:ascii="Arial" w:hAnsi="Arial" w:cs="Arial"/>
        </w:rPr>
        <w:t xml:space="preserve">intestinal </w:t>
      </w:r>
      <w:r w:rsidR="00106D7F">
        <w:rPr>
          <w:rFonts w:ascii="Arial" w:hAnsi="Arial" w:cs="Arial"/>
        </w:rPr>
        <w:t>(TGI)</w:t>
      </w:r>
      <w:r w:rsidR="004B177A">
        <w:rPr>
          <w:rFonts w:ascii="Arial" w:hAnsi="Arial" w:cs="Arial"/>
        </w:rPr>
        <w:t>, com evid</w:t>
      </w:r>
      <w:r w:rsidR="00C40B63">
        <w:rPr>
          <w:rFonts w:ascii="Arial" w:hAnsi="Arial" w:cs="Arial"/>
        </w:rPr>
        <w:t>ê</w:t>
      </w:r>
      <w:r w:rsidR="004B177A">
        <w:rPr>
          <w:rFonts w:ascii="Arial" w:hAnsi="Arial" w:cs="Arial"/>
        </w:rPr>
        <w:t>ncia para</w:t>
      </w:r>
      <w:r w:rsidR="00106D7F">
        <w:rPr>
          <w:rFonts w:ascii="Arial" w:hAnsi="Arial" w:cs="Arial"/>
        </w:rPr>
        <w:t xml:space="preserve"> as</w:t>
      </w:r>
      <w:r w:rsidR="004B177A">
        <w:rPr>
          <w:rFonts w:ascii="Arial" w:hAnsi="Arial" w:cs="Arial"/>
        </w:rPr>
        <w:t xml:space="preserve"> alterações morfológicas e</w:t>
      </w:r>
      <w:r w:rsidR="002400AD" w:rsidRPr="00A2521F">
        <w:rPr>
          <w:rFonts w:ascii="Arial" w:hAnsi="Arial" w:cs="Arial"/>
        </w:rPr>
        <w:t xml:space="preserve"> quantitativas </w:t>
      </w:r>
      <w:r>
        <w:rPr>
          <w:rFonts w:ascii="Arial" w:hAnsi="Arial" w:cs="Arial"/>
        </w:rPr>
        <w:t>em</w:t>
      </w:r>
      <w:r w:rsidR="002400AD" w:rsidRPr="00A2521F">
        <w:rPr>
          <w:rFonts w:ascii="Arial" w:hAnsi="Arial" w:cs="Arial"/>
        </w:rPr>
        <w:t xml:space="preserve"> neurônios </w:t>
      </w:r>
      <w:r w:rsidR="004B177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</w:t>
      </w:r>
      <w:r w:rsidR="00106D7F">
        <w:rPr>
          <w:rFonts w:ascii="Arial" w:hAnsi="Arial" w:cs="Arial"/>
        </w:rPr>
        <w:t>a</w:t>
      </w:r>
      <w:r w:rsidR="002400AD" w:rsidRPr="00A2521F">
        <w:rPr>
          <w:rFonts w:ascii="Arial" w:hAnsi="Arial" w:cs="Arial"/>
        </w:rPr>
        <w:t xml:space="preserve"> expressão de neurotransmissores no S</w:t>
      </w:r>
      <w:r>
        <w:rPr>
          <w:rFonts w:ascii="Arial" w:hAnsi="Arial" w:cs="Arial"/>
        </w:rPr>
        <w:t>istema Nervoso Entérico</w:t>
      </w:r>
      <w:r w:rsidR="002400AD">
        <w:rPr>
          <w:rFonts w:ascii="Arial" w:hAnsi="Arial" w:cs="Arial"/>
        </w:rPr>
        <w:t>.</w:t>
      </w:r>
      <w:r w:rsidR="00106D7F">
        <w:rPr>
          <w:rFonts w:ascii="Arial" w:hAnsi="Arial" w:cs="Arial"/>
        </w:rPr>
        <w:t xml:space="preserve"> Nesse cenário</w:t>
      </w:r>
      <w:r w:rsidR="002400AD" w:rsidRPr="00A2521F">
        <w:rPr>
          <w:rFonts w:ascii="Arial" w:hAnsi="Arial" w:cs="Arial"/>
        </w:rPr>
        <w:t xml:space="preserve">, </w:t>
      </w:r>
      <w:r w:rsidR="00106D7F">
        <w:rPr>
          <w:rFonts w:ascii="Arial" w:hAnsi="Arial" w:cs="Arial"/>
        </w:rPr>
        <w:t>enquadra-se</w:t>
      </w:r>
      <w:r w:rsidR="002400AD" w:rsidRPr="00A2521F">
        <w:rPr>
          <w:rFonts w:ascii="Arial" w:hAnsi="Arial" w:cs="Arial"/>
        </w:rPr>
        <w:t xml:space="preserve"> o peptídeo relacionado ao gene da calcitonina (CGRP), </w:t>
      </w:r>
      <w:r w:rsidR="00106D7F">
        <w:rPr>
          <w:rStyle w:val="hps"/>
          <w:rFonts w:ascii="Arial" w:hAnsi="Arial" w:cs="Arial"/>
          <w:lang w:val="pt-PT"/>
        </w:rPr>
        <w:t>o qual tem por</w:t>
      </w:r>
      <w:r w:rsidR="002400AD">
        <w:rPr>
          <w:rStyle w:val="hps"/>
          <w:rFonts w:ascii="Arial" w:hAnsi="Arial" w:cs="Arial"/>
          <w:lang w:val="pt-PT"/>
        </w:rPr>
        <w:t xml:space="preserve"> </w:t>
      </w:r>
      <w:r w:rsidR="00106D7F">
        <w:rPr>
          <w:rStyle w:val="hps"/>
          <w:rFonts w:ascii="Arial" w:hAnsi="Arial" w:cs="Arial"/>
          <w:lang w:val="pt-PT"/>
        </w:rPr>
        <w:t>funções</w:t>
      </w:r>
      <w:r w:rsidR="002400AD">
        <w:rPr>
          <w:rStyle w:val="hps"/>
          <w:rFonts w:ascii="Arial" w:hAnsi="Arial" w:cs="Arial"/>
          <w:lang w:val="pt-PT"/>
        </w:rPr>
        <w:t xml:space="preserve"> a modulação do processo digestivo</w:t>
      </w:r>
      <w:r w:rsidR="00106D7F">
        <w:rPr>
          <w:rFonts w:ascii="Arial" w:hAnsi="Arial" w:cs="Arial"/>
          <w:lang w:val="pt-PT"/>
        </w:rPr>
        <w:t xml:space="preserve">, a </w:t>
      </w:r>
      <w:r w:rsidR="002400AD" w:rsidRPr="00A2521F">
        <w:rPr>
          <w:rStyle w:val="hps"/>
          <w:rFonts w:ascii="Arial" w:hAnsi="Arial" w:cs="Arial"/>
          <w:lang w:val="pt-PT"/>
        </w:rPr>
        <w:t>secreção gástrica</w:t>
      </w:r>
      <w:r w:rsidR="00106D7F">
        <w:rPr>
          <w:rFonts w:ascii="Arial" w:hAnsi="Arial" w:cs="Arial"/>
          <w:lang w:val="pt-PT"/>
        </w:rPr>
        <w:t xml:space="preserve"> e a </w:t>
      </w:r>
      <w:r w:rsidR="002400AD" w:rsidRPr="00A2521F">
        <w:rPr>
          <w:rStyle w:val="hps"/>
          <w:rFonts w:ascii="Arial" w:hAnsi="Arial" w:cs="Arial"/>
          <w:lang w:val="pt-PT"/>
        </w:rPr>
        <w:t>motilidade gastrintestinal</w:t>
      </w:r>
      <w:r w:rsidR="00106D7F">
        <w:rPr>
          <w:rStyle w:val="hps"/>
          <w:rFonts w:ascii="Arial" w:hAnsi="Arial" w:cs="Arial"/>
          <w:lang w:val="pt-PT"/>
        </w:rPr>
        <w:t>.</w:t>
      </w:r>
      <w:r>
        <w:rPr>
          <w:rStyle w:val="hps"/>
          <w:rFonts w:ascii="Arial" w:hAnsi="Arial" w:cs="Arial"/>
          <w:lang w:val="pt-PT"/>
        </w:rPr>
        <w:t xml:space="preserve"> Com objetivo de avaliar a expressão do CGRP nas varicosidades das fibras</w:t>
      </w:r>
      <w:r w:rsidR="004B177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mioentéricas</w:t>
      </w:r>
      <w:proofErr w:type="spellEnd"/>
      <w:r>
        <w:rPr>
          <w:rFonts w:ascii="Arial" w:hAnsi="Arial" w:cs="Arial"/>
        </w:rPr>
        <w:t>, i</w:t>
      </w:r>
      <w:r w:rsidR="00106D7F">
        <w:rPr>
          <w:rFonts w:ascii="Arial" w:hAnsi="Arial" w:cs="Arial"/>
        </w:rPr>
        <w:t>magens</w:t>
      </w:r>
      <w:r w:rsidR="002400AD" w:rsidRPr="008249B8">
        <w:rPr>
          <w:rFonts w:ascii="Arial" w:hAnsi="Arial" w:cs="Arial"/>
        </w:rPr>
        <w:t xml:space="preserve"> (</w:t>
      </w:r>
      <w:proofErr w:type="spellStart"/>
      <w:r w:rsidR="002400AD" w:rsidRPr="008249B8">
        <w:rPr>
          <w:rFonts w:ascii="Arial" w:hAnsi="Arial" w:cs="Arial"/>
        </w:rPr>
        <w:t>fotomicrografias</w:t>
      </w:r>
      <w:proofErr w:type="spellEnd"/>
      <w:r w:rsidR="002400AD" w:rsidRPr="008249B8">
        <w:rPr>
          <w:rFonts w:ascii="Arial" w:hAnsi="Arial" w:cs="Arial"/>
        </w:rPr>
        <w:t xml:space="preserve">) </w:t>
      </w:r>
      <w:r w:rsidR="00070299">
        <w:rPr>
          <w:rFonts w:ascii="Arial" w:hAnsi="Arial" w:cs="Arial"/>
        </w:rPr>
        <w:t xml:space="preserve">de </w:t>
      </w:r>
      <w:r w:rsidR="00D116CC">
        <w:rPr>
          <w:rFonts w:ascii="Arial" w:hAnsi="Arial" w:cs="Arial"/>
        </w:rPr>
        <w:t>dois</w:t>
      </w:r>
      <w:r w:rsidR="00070299" w:rsidRPr="008249B8">
        <w:rPr>
          <w:rFonts w:ascii="Arial" w:hAnsi="Arial" w:cs="Arial"/>
        </w:rPr>
        <w:t xml:space="preserve"> grupos experime</w:t>
      </w:r>
      <w:r w:rsidR="00070299">
        <w:rPr>
          <w:rFonts w:ascii="Arial" w:hAnsi="Arial" w:cs="Arial"/>
        </w:rPr>
        <w:t>ntais, c</w:t>
      </w:r>
      <w:r w:rsidR="00070299" w:rsidRPr="00801A1D">
        <w:rPr>
          <w:rFonts w:ascii="Arial" w:hAnsi="Arial" w:cs="Arial"/>
        </w:rPr>
        <w:t>ontrole</w:t>
      </w:r>
      <w:r w:rsidR="00070299">
        <w:rPr>
          <w:rFonts w:ascii="Arial" w:hAnsi="Arial" w:cs="Arial"/>
        </w:rPr>
        <w:t xml:space="preserve"> (C) e p</w:t>
      </w:r>
      <w:r w:rsidR="00070299" w:rsidRPr="00801A1D">
        <w:rPr>
          <w:rFonts w:ascii="Arial" w:hAnsi="Arial" w:cs="Arial"/>
        </w:rPr>
        <w:t>o</w:t>
      </w:r>
      <w:r w:rsidR="00070299">
        <w:rPr>
          <w:rFonts w:ascii="Arial" w:hAnsi="Arial" w:cs="Arial"/>
        </w:rPr>
        <w:t>rtadores de tumor de Walker-256</w:t>
      </w:r>
      <w:r w:rsidR="00070299" w:rsidRPr="00801A1D">
        <w:rPr>
          <w:rFonts w:ascii="Arial" w:hAnsi="Arial" w:cs="Arial"/>
        </w:rPr>
        <w:t xml:space="preserve"> </w:t>
      </w:r>
      <w:r w:rsidR="00070299">
        <w:rPr>
          <w:rFonts w:ascii="Arial" w:hAnsi="Arial" w:cs="Arial"/>
        </w:rPr>
        <w:t xml:space="preserve">(TW), </w:t>
      </w:r>
      <w:r w:rsidR="00106D7F">
        <w:rPr>
          <w:rFonts w:ascii="Arial" w:hAnsi="Arial" w:cs="Arial"/>
        </w:rPr>
        <w:t>cedidas pelo</w:t>
      </w:r>
      <w:r w:rsidR="00106D7F" w:rsidRPr="008249B8">
        <w:rPr>
          <w:rFonts w:ascii="Arial" w:hAnsi="Arial" w:cs="Arial"/>
        </w:rPr>
        <w:t xml:space="preserve"> Laboratório de Plasticidade Neural Entérica da Universidade Estadual de Maringá</w:t>
      </w:r>
      <w:r w:rsidR="00106D7F">
        <w:rPr>
          <w:rFonts w:ascii="Arial" w:hAnsi="Arial" w:cs="Arial"/>
        </w:rPr>
        <w:t xml:space="preserve"> UEM-PR</w:t>
      </w:r>
      <w:r w:rsidR="00070299">
        <w:rPr>
          <w:rFonts w:ascii="Arial" w:hAnsi="Arial" w:cs="Arial"/>
        </w:rPr>
        <w:t>, foram analisadas.</w:t>
      </w:r>
      <w:r w:rsidR="002400AD">
        <w:rPr>
          <w:rFonts w:ascii="Arial" w:hAnsi="Arial" w:cs="Arial"/>
        </w:rPr>
        <w:t xml:space="preserve"> </w:t>
      </w:r>
      <w:r w:rsidR="00D116CC">
        <w:rPr>
          <w:rFonts w:ascii="Arial" w:hAnsi="Arial" w:cs="Arial"/>
        </w:rPr>
        <w:t>Assim, dezesseis</w:t>
      </w:r>
      <w:r w:rsidR="00934AFD">
        <w:rPr>
          <w:rFonts w:ascii="Arial" w:hAnsi="Arial" w:cs="Arial"/>
        </w:rPr>
        <w:t xml:space="preserve"> </w:t>
      </w:r>
      <w:r w:rsidR="00934AFD" w:rsidRPr="00801A1D">
        <w:rPr>
          <w:rFonts w:ascii="Arial" w:hAnsi="Arial" w:cs="Arial"/>
        </w:rPr>
        <w:t xml:space="preserve">ratos </w:t>
      </w:r>
      <w:proofErr w:type="spellStart"/>
      <w:r w:rsidR="00934AFD" w:rsidRPr="006D2357">
        <w:rPr>
          <w:rFonts w:ascii="Arial" w:hAnsi="Arial" w:cs="Arial"/>
          <w:i/>
        </w:rPr>
        <w:t>norvergiccus</w:t>
      </w:r>
      <w:proofErr w:type="spellEnd"/>
      <w:r w:rsidR="00934AFD" w:rsidRPr="006D2357">
        <w:rPr>
          <w:rFonts w:ascii="Arial" w:hAnsi="Arial" w:cs="Arial"/>
          <w:i/>
        </w:rPr>
        <w:t xml:space="preserve"> </w:t>
      </w:r>
      <w:proofErr w:type="spellStart"/>
      <w:r w:rsidR="00934AFD" w:rsidRPr="006D2357">
        <w:rPr>
          <w:rFonts w:ascii="Arial" w:hAnsi="Arial" w:cs="Arial"/>
          <w:i/>
        </w:rPr>
        <w:t>Wistar</w:t>
      </w:r>
      <w:proofErr w:type="spellEnd"/>
      <w:r w:rsidR="00934AFD">
        <w:rPr>
          <w:rFonts w:ascii="Arial" w:hAnsi="Arial" w:cs="Arial"/>
        </w:rPr>
        <w:t xml:space="preserve"> </w:t>
      </w:r>
      <w:r w:rsidR="00D116CC">
        <w:rPr>
          <w:rFonts w:ascii="Arial" w:hAnsi="Arial" w:cs="Arial"/>
        </w:rPr>
        <w:t xml:space="preserve">foram </w:t>
      </w:r>
      <w:r w:rsidR="00934AFD" w:rsidRPr="00801A1D">
        <w:rPr>
          <w:rFonts w:ascii="Arial" w:hAnsi="Arial" w:cs="Arial"/>
        </w:rPr>
        <w:t xml:space="preserve">divididos em </w:t>
      </w:r>
      <w:r w:rsidR="00934AFD">
        <w:rPr>
          <w:rFonts w:ascii="Arial" w:hAnsi="Arial" w:cs="Arial"/>
        </w:rPr>
        <w:t>dois grupos</w:t>
      </w:r>
      <w:r w:rsidR="00934AFD" w:rsidRPr="00801A1D">
        <w:rPr>
          <w:rFonts w:ascii="Arial" w:hAnsi="Arial" w:cs="Arial"/>
        </w:rPr>
        <w:t xml:space="preserve"> com n=</w:t>
      </w:r>
      <w:r w:rsidR="00934AFD">
        <w:rPr>
          <w:rFonts w:ascii="Arial" w:hAnsi="Arial" w:cs="Arial"/>
        </w:rPr>
        <w:t>8</w:t>
      </w:r>
      <w:r w:rsidR="00934AFD" w:rsidRPr="00801A1D">
        <w:rPr>
          <w:rFonts w:ascii="Arial" w:hAnsi="Arial" w:cs="Arial"/>
        </w:rPr>
        <w:t>.</w:t>
      </w:r>
      <w:r w:rsidR="00934AFD">
        <w:rPr>
          <w:rFonts w:ascii="Arial" w:hAnsi="Arial" w:cs="Arial"/>
        </w:rPr>
        <w:t xml:space="preserve"> A</w:t>
      </w:r>
      <w:r w:rsidR="004B177A">
        <w:rPr>
          <w:rFonts w:ascii="Arial" w:hAnsi="Arial" w:cs="Arial"/>
        </w:rPr>
        <w:t xml:space="preserve"> </w:t>
      </w:r>
      <w:r w:rsidR="00106D7F" w:rsidRPr="008249B8">
        <w:rPr>
          <w:rFonts w:ascii="Arial" w:hAnsi="Arial" w:cs="Arial"/>
        </w:rPr>
        <w:t>análise morfométrica</w:t>
      </w:r>
      <w:r w:rsidR="00106D7F">
        <w:rPr>
          <w:rFonts w:ascii="Arial" w:hAnsi="Arial" w:cs="Arial"/>
        </w:rPr>
        <w:t xml:space="preserve"> das varicosidades imunorreativas ao CGRP (CGRP-IR) ao longo das fibras nervosas mioentéricas</w:t>
      </w:r>
      <w:r w:rsidR="00934AFD">
        <w:rPr>
          <w:rFonts w:ascii="Arial" w:hAnsi="Arial" w:cs="Arial"/>
        </w:rPr>
        <w:t xml:space="preserve"> se deu por meio da mensuração</w:t>
      </w:r>
      <w:r w:rsidR="00934AFD">
        <w:rPr>
          <w:rFonts w:ascii="Arial" w:hAnsi="Arial" w:cs="Arial"/>
          <w:bCs/>
        </w:rPr>
        <w:t xml:space="preserve"> da área de</w:t>
      </w:r>
      <w:r w:rsidR="00106D7F" w:rsidRPr="00FA42F4">
        <w:rPr>
          <w:rFonts w:ascii="Arial" w:hAnsi="Arial" w:cs="Arial"/>
          <w:bCs/>
        </w:rPr>
        <w:t xml:space="preserve"> 400 varicosidades (μm</w:t>
      </w:r>
      <w:r w:rsidR="00106D7F" w:rsidRPr="00FA42F4">
        <w:rPr>
          <w:rFonts w:ascii="Arial" w:hAnsi="Arial" w:cs="Arial"/>
          <w:bCs/>
          <w:vertAlign w:val="superscript"/>
        </w:rPr>
        <w:t>2</w:t>
      </w:r>
      <w:r w:rsidR="00106D7F">
        <w:rPr>
          <w:rFonts w:ascii="Arial" w:hAnsi="Arial" w:cs="Arial"/>
          <w:bCs/>
        </w:rPr>
        <w:t xml:space="preserve">) </w:t>
      </w:r>
      <w:r w:rsidR="00106D7F">
        <w:rPr>
          <w:rFonts w:ascii="Arial" w:hAnsi="Arial" w:cs="Arial"/>
        </w:rPr>
        <w:t>por animal</w:t>
      </w:r>
      <w:r w:rsidR="00934AFD">
        <w:rPr>
          <w:rFonts w:ascii="Arial" w:hAnsi="Arial" w:cs="Arial"/>
          <w:bCs/>
        </w:rPr>
        <w:t>.</w:t>
      </w:r>
      <w:r w:rsidR="00934AFD">
        <w:rPr>
          <w:rFonts w:ascii="Arial" w:hAnsi="Arial" w:cs="Arial"/>
        </w:rPr>
        <w:t xml:space="preserve"> O</w:t>
      </w:r>
      <w:r w:rsidR="00106D7F">
        <w:rPr>
          <w:rFonts w:ascii="Arial" w:hAnsi="Arial" w:cs="Arial"/>
        </w:rPr>
        <w:t xml:space="preserve">s </w:t>
      </w:r>
      <w:r w:rsidR="00106D7F" w:rsidRPr="006113F2">
        <w:rPr>
          <w:rFonts w:ascii="Arial" w:hAnsi="Arial" w:cs="Arial"/>
        </w:rPr>
        <w:t xml:space="preserve">valores médios </w:t>
      </w:r>
      <w:r w:rsidR="00934AFD">
        <w:rPr>
          <w:rFonts w:ascii="Arial" w:hAnsi="Arial" w:cs="Arial"/>
        </w:rPr>
        <w:t>encontrado</w:t>
      </w:r>
      <w:r w:rsidR="00C40B63">
        <w:rPr>
          <w:rFonts w:ascii="Arial" w:hAnsi="Arial" w:cs="Arial"/>
        </w:rPr>
        <w:t>s</w:t>
      </w:r>
      <w:r w:rsidR="00934AFD">
        <w:rPr>
          <w:rFonts w:ascii="Arial" w:hAnsi="Arial" w:cs="Arial"/>
        </w:rPr>
        <w:t xml:space="preserve"> </w:t>
      </w:r>
      <w:r w:rsidR="00106D7F">
        <w:rPr>
          <w:rFonts w:ascii="Arial" w:hAnsi="Arial" w:cs="Arial"/>
        </w:rPr>
        <w:t>mostra</w:t>
      </w:r>
      <w:r w:rsidR="00C40B63">
        <w:rPr>
          <w:rFonts w:ascii="Arial" w:hAnsi="Arial" w:cs="Arial"/>
        </w:rPr>
        <w:t>ram</w:t>
      </w:r>
      <w:r w:rsidR="00106D7F">
        <w:rPr>
          <w:rFonts w:ascii="Arial" w:hAnsi="Arial" w:cs="Arial"/>
        </w:rPr>
        <w:t xml:space="preserve"> diferença estatística significante</w:t>
      </w:r>
      <w:r w:rsidR="00106D7F" w:rsidRPr="006113F2">
        <w:rPr>
          <w:rFonts w:ascii="Arial" w:hAnsi="Arial" w:cs="Arial"/>
        </w:rPr>
        <w:t xml:space="preserve">, tendo o grupo TW uma área de </w:t>
      </w:r>
      <w:r w:rsidR="00106D7F">
        <w:rPr>
          <w:rFonts w:ascii="Arial" w:hAnsi="Arial" w:cs="Arial"/>
          <w:lang w:eastAsia="pt-BR"/>
        </w:rPr>
        <w:t>2.77 ± 0.032</w:t>
      </w:r>
      <w:r w:rsidR="00106D7F" w:rsidRPr="006113F2">
        <w:rPr>
          <w:rFonts w:ascii="Arial" w:hAnsi="Arial" w:cs="Arial"/>
          <w:lang w:eastAsia="pt-BR"/>
        </w:rPr>
        <w:t xml:space="preserve">, enquanto o grupo C apresentou uma área de </w:t>
      </w:r>
      <w:r w:rsidR="00106D7F" w:rsidRPr="006C5FFB">
        <w:rPr>
          <w:rFonts w:ascii="Arial" w:hAnsi="Arial" w:cs="Arial"/>
          <w:lang w:eastAsia="pt-BR"/>
        </w:rPr>
        <w:t>2.0</w:t>
      </w:r>
      <w:r w:rsidR="00106D7F">
        <w:rPr>
          <w:rFonts w:ascii="Arial" w:hAnsi="Arial" w:cs="Arial"/>
          <w:lang w:eastAsia="pt-BR"/>
        </w:rPr>
        <w:t>6</w:t>
      </w:r>
      <w:r w:rsidR="00106D7F" w:rsidRPr="006C5FFB">
        <w:rPr>
          <w:rFonts w:ascii="Arial" w:hAnsi="Arial" w:cs="Arial"/>
          <w:lang w:eastAsia="pt-BR"/>
        </w:rPr>
        <w:t xml:space="preserve"> ± 0.02</w:t>
      </w:r>
      <w:r w:rsidR="00106D7F">
        <w:rPr>
          <w:rFonts w:ascii="Arial" w:hAnsi="Arial" w:cs="Arial"/>
          <w:lang w:eastAsia="pt-BR"/>
        </w:rPr>
        <w:t>5</w:t>
      </w:r>
      <w:r w:rsidR="00070299">
        <w:rPr>
          <w:rFonts w:ascii="Arial" w:hAnsi="Arial" w:cs="Arial"/>
          <w:lang w:eastAsia="pt-BR"/>
        </w:rPr>
        <w:t xml:space="preserve"> (p&lt;0,05)</w:t>
      </w:r>
      <w:r w:rsidR="00934AFD">
        <w:rPr>
          <w:rFonts w:ascii="Arial" w:hAnsi="Arial" w:cs="Arial"/>
          <w:lang w:eastAsia="pt-BR"/>
        </w:rPr>
        <w:t>.</w:t>
      </w:r>
      <w:r w:rsidR="00934AFD">
        <w:rPr>
          <w:rFonts w:ascii="Arial" w:hAnsi="Arial" w:cs="Arial"/>
        </w:rPr>
        <w:t xml:space="preserve"> No tocante</w:t>
      </w:r>
      <w:r w:rsidR="00106D7F">
        <w:rPr>
          <w:rFonts w:ascii="Arial" w:hAnsi="Arial" w:cs="Arial"/>
        </w:rPr>
        <w:t xml:space="preserve"> a elevaç</w:t>
      </w:r>
      <w:r w:rsidR="00934AFD">
        <w:rPr>
          <w:rFonts w:ascii="Arial" w:hAnsi="Arial" w:cs="Arial"/>
        </w:rPr>
        <w:t>ão dos neuropeptídios, tem-se o</w:t>
      </w:r>
      <w:r w:rsidR="00106D7F">
        <w:rPr>
          <w:rFonts w:ascii="Arial" w:hAnsi="Arial" w:cs="Arial"/>
        </w:rPr>
        <w:t xml:space="preserve"> aumento </w:t>
      </w:r>
      <w:r w:rsidR="00106D7F" w:rsidRPr="004E7A47">
        <w:rPr>
          <w:rFonts w:ascii="Arial" w:hAnsi="Arial" w:cs="Arial"/>
        </w:rPr>
        <w:t>da área da varicosidade da fibra nervosa CGRP-</w:t>
      </w:r>
      <w:proofErr w:type="gramStart"/>
      <w:r w:rsidR="004B177A">
        <w:rPr>
          <w:rFonts w:ascii="Arial" w:hAnsi="Arial" w:cs="Arial"/>
        </w:rPr>
        <w:t>IR na</w:t>
      </w:r>
      <w:proofErr w:type="gramEnd"/>
      <w:r w:rsidR="004B177A">
        <w:rPr>
          <w:rFonts w:ascii="Arial" w:hAnsi="Arial" w:cs="Arial"/>
        </w:rPr>
        <w:t xml:space="preserve"> ordem de 34,63% em comparação ao grupo </w:t>
      </w:r>
      <w:r w:rsidR="00070299">
        <w:rPr>
          <w:rFonts w:ascii="Arial" w:hAnsi="Arial" w:cs="Arial"/>
        </w:rPr>
        <w:t>C</w:t>
      </w:r>
      <w:r w:rsidR="004B177A">
        <w:rPr>
          <w:rFonts w:ascii="Arial" w:hAnsi="Arial" w:cs="Arial"/>
        </w:rPr>
        <w:t>, sugerindo</w:t>
      </w:r>
      <w:r w:rsidR="00106D7F">
        <w:rPr>
          <w:rFonts w:ascii="Arial" w:hAnsi="Arial" w:cs="Arial"/>
        </w:rPr>
        <w:t xml:space="preserve"> que </w:t>
      </w:r>
      <w:r w:rsidR="00106D7F" w:rsidRPr="0057576E">
        <w:rPr>
          <w:rFonts w:ascii="Arial" w:hAnsi="Arial" w:cs="Arial"/>
        </w:rPr>
        <w:t xml:space="preserve">a expressão de </w:t>
      </w:r>
      <w:r w:rsidR="00106D7F">
        <w:rPr>
          <w:rFonts w:ascii="Arial" w:hAnsi="Arial" w:cs="Arial"/>
        </w:rPr>
        <w:t>CGRP</w:t>
      </w:r>
      <w:r w:rsidR="004B177A">
        <w:rPr>
          <w:rFonts w:ascii="Arial" w:hAnsi="Arial" w:cs="Arial"/>
        </w:rPr>
        <w:t xml:space="preserve"> está elevada</w:t>
      </w:r>
      <w:r w:rsidR="00106D7F">
        <w:rPr>
          <w:rFonts w:ascii="Arial" w:hAnsi="Arial" w:cs="Arial"/>
        </w:rPr>
        <w:t xml:space="preserve"> </w:t>
      </w:r>
      <w:r w:rsidR="004B177A">
        <w:rPr>
          <w:rFonts w:ascii="Arial" w:hAnsi="Arial" w:cs="Arial"/>
        </w:rPr>
        <w:t>e foi induzida</w:t>
      </w:r>
      <w:r w:rsidR="00106D7F" w:rsidRPr="0057576E">
        <w:rPr>
          <w:rFonts w:ascii="Arial" w:hAnsi="Arial" w:cs="Arial"/>
        </w:rPr>
        <w:t xml:space="preserve"> </w:t>
      </w:r>
      <w:r w:rsidR="00106D7F">
        <w:rPr>
          <w:rFonts w:ascii="Arial" w:hAnsi="Arial" w:cs="Arial"/>
        </w:rPr>
        <w:t>pela presença do tumor.</w:t>
      </w:r>
    </w:p>
    <w:p w:rsidR="007825E2" w:rsidRDefault="007825E2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365423" w:rsidRPr="00A2521F" w:rsidRDefault="00365423" w:rsidP="00365423">
      <w:pPr>
        <w:ind w:firstLine="709"/>
        <w:jc w:val="both"/>
        <w:rPr>
          <w:rFonts w:ascii="Arial" w:hAnsi="Arial" w:cs="Arial"/>
        </w:rPr>
      </w:pPr>
      <w:r w:rsidRPr="00A2521F">
        <w:rPr>
          <w:rFonts w:ascii="Arial" w:hAnsi="Arial" w:cs="Arial"/>
        </w:rPr>
        <w:t>A caquexia associada ao câncer vem sendo estud</w:t>
      </w:r>
      <w:r>
        <w:rPr>
          <w:rFonts w:ascii="Arial" w:hAnsi="Arial" w:cs="Arial"/>
        </w:rPr>
        <w:t xml:space="preserve">ada </w:t>
      </w:r>
      <w:r w:rsidRPr="00A2521F">
        <w:rPr>
          <w:rFonts w:ascii="Arial" w:hAnsi="Arial" w:cs="Arial"/>
        </w:rPr>
        <w:t>com frequência em modelos animais. A utilização do tumo</w:t>
      </w:r>
      <w:r>
        <w:rPr>
          <w:rFonts w:ascii="Arial" w:hAnsi="Arial" w:cs="Arial"/>
        </w:rPr>
        <w:t>r Walker-256 em ratos</w:t>
      </w:r>
      <w:r w:rsidRPr="00A2521F">
        <w:rPr>
          <w:rFonts w:ascii="Arial" w:hAnsi="Arial" w:cs="Arial"/>
        </w:rPr>
        <w:t xml:space="preserve"> é </w:t>
      </w:r>
      <w:r>
        <w:rPr>
          <w:rFonts w:ascii="Arial" w:hAnsi="Arial" w:cs="Arial"/>
        </w:rPr>
        <w:t>considerada</w:t>
      </w:r>
      <w:r w:rsidRPr="00A2521F">
        <w:rPr>
          <w:rFonts w:ascii="Arial" w:hAnsi="Arial" w:cs="Arial"/>
        </w:rPr>
        <w:t xml:space="preserve"> um </w:t>
      </w:r>
      <w:r w:rsidRPr="00A2521F">
        <w:rPr>
          <w:rFonts w:ascii="Arial" w:hAnsi="Arial" w:cs="Arial"/>
        </w:rPr>
        <w:lastRenderedPageBreak/>
        <w:t xml:space="preserve">modelo experimental adequado para a compreensão da </w:t>
      </w:r>
      <w:r w:rsidR="004959AF">
        <w:rPr>
          <w:rFonts w:ascii="Arial" w:hAnsi="Arial" w:cs="Arial"/>
        </w:rPr>
        <w:t>s</w:t>
      </w:r>
      <w:r w:rsidRPr="00A2521F">
        <w:rPr>
          <w:rFonts w:ascii="Arial" w:hAnsi="Arial" w:cs="Arial"/>
        </w:rPr>
        <w:t xml:space="preserve">índrome </w:t>
      </w:r>
      <w:r w:rsidR="004959AF">
        <w:rPr>
          <w:rFonts w:ascii="Arial" w:hAnsi="Arial" w:cs="Arial"/>
        </w:rPr>
        <w:t>da c</w:t>
      </w:r>
      <w:r w:rsidRPr="00A2521F">
        <w:rPr>
          <w:rFonts w:ascii="Arial" w:hAnsi="Arial" w:cs="Arial"/>
        </w:rPr>
        <w:t xml:space="preserve">aquexia devido </w:t>
      </w:r>
      <w:r w:rsidR="004959AF">
        <w:rPr>
          <w:rFonts w:ascii="Arial" w:hAnsi="Arial" w:cs="Arial"/>
        </w:rPr>
        <w:t>ás</w:t>
      </w:r>
      <w:r w:rsidRPr="00A2521F">
        <w:rPr>
          <w:rFonts w:ascii="Arial" w:hAnsi="Arial" w:cs="Arial"/>
        </w:rPr>
        <w:t xml:space="preserve"> característ</w:t>
      </w:r>
      <w:r>
        <w:rPr>
          <w:rFonts w:ascii="Arial" w:hAnsi="Arial" w:cs="Arial"/>
        </w:rPr>
        <w:t xml:space="preserve">icas tumorais </w:t>
      </w:r>
      <w:r w:rsidRPr="00A2521F">
        <w:rPr>
          <w:rFonts w:ascii="Arial" w:hAnsi="Arial" w:cs="Arial"/>
        </w:rPr>
        <w:t>definidas, além da facilidade de</w:t>
      </w:r>
      <w:r w:rsidR="004959AF">
        <w:rPr>
          <w:rFonts w:ascii="Arial" w:hAnsi="Arial" w:cs="Arial"/>
        </w:rPr>
        <w:t xml:space="preserve"> sua manutenção em laboratório</w:t>
      </w:r>
      <w:r w:rsidRPr="00A2521F">
        <w:rPr>
          <w:rFonts w:ascii="Arial" w:hAnsi="Arial" w:cs="Arial"/>
        </w:rPr>
        <w:t xml:space="preserve"> </w:t>
      </w:r>
      <w:r w:rsidR="004959AF">
        <w:rPr>
          <w:rFonts w:ascii="Arial" w:hAnsi="Arial" w:cs="Arial"/>
        </w:rPr>
        <w:t>(</w:t>
      </w:r>
      <w:r w:rsidRPr="00A2521F">
        <w:rPr>
          <w:rFonts w:ascii="Arial" w:hAnsi="Arial" w:cs="Arial"/>
        </w:rPr>
        <w:t xml:space="preserve">OLIVEIRA </w:t>
      </w:r>
      <w:proofErr w:type="gramStart"/>
      <w:r w:rsidRPr="00BE5EB8">
        <w:rPr>
          <w:rFonts w:ascii="Arial" w:hAnsi="Arial" w:cs="Arial"/>
          <w:i/>
          <w:iCs/>
        </w:rPr>
        <w:t>et</w:t>
      </w:r>
      <w:proofErr w:type="gramEnd"/>
      <w:r w:rsidRPr="00BE5EB8">
        <w:rPr>
          <w:rFonts w:ascii="Arial" w:hAnsi="Arial" w:cs="Arial"/>
          <w:i/>
          <w:iCs/>
        </w:rPr>
        <w:t xml:space="preserve"> al</w:t>
      </w:r>
      <w:r w:rsidRPr="00BE5EB8">
        <w:rPr>
          <w:rFonts w:ascii="Arial" w:hAnsi="Arial" w:cs="Arial"/>
        </w:rPr>
        <w:t>.,</w:t>
      </w:r>
      <w:r w:rsidRPr="00A2521F">
        <w:rPr>
          <w:rFonts w:ascii="Arial" w:hAnsi="Arial" w:cs="Arial"/>
        </w:rPr>
        <w:t xml:space="preserve"> 1998). Nesse contexto, fa</w:t>
      </w:r>
      <w:r>
        <w:rPr>
          <w:rFonts w:ascii="Arial" w:hAnsi="Arial" w:cs="Arial"/>
        </w:rPr>
        <w:t>z-se necessário o entendimento do trato gastro</w:t>
      </w:r>
      <w:r w:rsidRPr="00A2521F">
        <w:rPr>
          <w:rFonts w:ascii="Arial" w:hAnsi="Arial" w:cs="Arial"/>
        </w:rPr>
        <w:t xml:space="preserve">intestinal (TGI) associado a essa síndrome. As células neurais do TGI fazem parte de um sistema nervoso próprio da parede intestinal, o Sistema Nervoso Entérico </w:t>
      </w:r>
      <w:r>
        <w:rPr>
          <w:rStyle w:val="hps"/>
          <w:rFonts w:ascii="Arial" w:hAnsi="Arial" w:cs="Arial"/>
          <w:lang w:val="pt-PT"/>
        </w:rPr>
        <w:t xml:space="preserve">(SNE) </w:t>
      </w:r>
      <w:r>
        <w:rPr>
          <w:rFonts w:ascii="Arial" w:hAnsi="Arial" w:cs="Arial"/>
        </w:rPr>
        <w:t>que é</w:t>
      </w:r>
      <w:r w:rsidRPr="00A2521F">
        <w:rPr>
          <w:rFonts w:ascii="Arial" w:hAnsi="Arial" w:cs="Arial"/>
        </w:rPr>
        <w:t xml:space="preserve"> organizado </w:t>
      </w:r>
      <w:r w:rsidR="0090127B">
        <w:rPr>
          <w:rFonts w:ascii="Arial" w:hAnsi="Arial" w:cs="Arial"/>
        </w:rPr>
        <w:t>em</w:t>
      </w:r>
      <w:r w:rsidR="00D860DF">
        <w:rPr>
          <w:rFonts w:ascii="Arial" w:hAnsi="Arial" w:cs="Arial"/>
        </w:rPr>
        <w:t xml:space="preserve"> plexos. </w:t>
      </w:r>
      <w:r w:rsidR="0090127B">
        <w:rPr>
          <w:rFonts w:ascii="Arial" w:hAnsi="Arial" w:cs="Arial"/>
        </w:rPr>
        <w:t>A maioria das</w:t>
      </w:r>
      <w:r w:rsidRPr="00A2521F">
        <w:rPr>
          <w:rFonts w:ascii="Arial" w:hAnsi="Arial" w:cs="Arial"/>
        </w:rPr>
        <w:t xml:space="preserve"> células nervosas possuem corpos celulares inseridos em do</w:t>
      </w:r>
      <w:r w:rsidR="0090127B">
        <w:rPr>
          <w:rFonts w:ascii="Arial" w:hAnsi="Arial" w:cs="Arial"/>
        </w:rPr>
        <w:t xml:space="preserve">is plexos ganglionados, o </w:t>
      </w:r>
      <w:r w:rsidRPr="00A2521F">
        <w:rPr>
          <w:rFonts w:ascii="Arial" w:hAnsi="Arial" w:cs="Arial"/>
        </w:rPr>
        <w:t>plexo mioentérico</w:t>
      </w:r>
      <w:r w:rsidR="0090127B">
        <w:rPr>
          <w:rFonts w:ascii="Arial" w:hAnsi="Arial" w:cs="Arial"/>
        </w:rPr>
        <w:t xml:space="preserve"> e o plexo submucoso</w:t>
      </w:r>
      <w:r w:rsidR="00D860DF">
        <w:rPr>
          <w:rFonts w:ascii="Arial" w:hAnsi="Arial" w:cs="Arial"/>
        </w:rPr>
        <w:t xml:space="preserve"> (FURNESS, 200</w:t>
      </w:r>
      <w:r w:rsidR="00D860DF" w:rsidRPr="00A2521F">
        <w:rPr>
          <w:rFonts w:ascii="Arial" w:hAnsi="Arial" w:cs="Arial"/>
        </w:rPr>
        <w:t>6</w:t>
      </w:r>
      <w:r w:rsidR="00D860DF">
        <w:rPr>
          <w:rFonts w:ascii="Arial" w:hAnsi="Arial" w:cs="Arial"/>
        </w:rPr>
        <w:t>)</w:t>
      </w:r>
      <w:r w:rsidR="0090127B">
        <w:rPr>
          <w:rFonts w:ascii="Arial" w:hAnsi="Arial" w:cs="Arial"/>
        </w:rPr>
        <w:t xml:space="preserve">. </w:t>
      </w:r>
      <w:r w:rsidR="0090127B">
        <w:rPr>
          <w:rStyle w:val="hps"/>
          <w:rFonts w:ascii="Arial" w:hAnsi="Arial" w:cs="Arial"/>
          <w:lang w:val="pt-PT"/>
        </w:rPr>
        <w:t xml:space="preserve">Diversos estudos </w:t>
      </w:r>
      <w:r w:rsidRPr="00A2521F">
        <w:rPr>
          <w:rStyle w:val="hps"/>
          <w:rFonts w:ascii="Arial" w:hAnsi="Arial" w:cs="Arial"/>
          <w:lang w:val="pt-PT"/>
        </w:rPr>
        <w:t>observa</w:t>
      </w:r>
      <w:r w:rsidR="0090127B">
        <w:rPr>
          <w:rStyle w:val="hps"/>
          <w:rFonts w:ascii="Arial" w:hAnsi="Arial" w:cs="Arial"/>
          <w:lang w:val="pt-PT"/>
        </w:rPr>
        <w:t>ra</w:t>
      </w:r>
      <w:r w:rsidRPr="00A2521F">
        <w:rPr>
          <w:rStyle w:val="hps"/>
          <w:rFonts w:ascii="Arial" w:hAnsi="Arial" w:cs="Arial"/>
          <w:lang w:val="pt-PT"/>
        </w:rPr>
        <w:t>m disfun</w:t>
      </w:r>
      <w:r>
        <w:rPr>
          <w:rStyle w:val="hps"/>
          <w:rFonts w:ascii="Arial" w:hAnsi="Arial" w:cs="Arial"/>
          <w:lang w:val="pt-PT"/>
        </w:rPr>
        <w:t xml:space="preserve">ções gastrintestinais, as quais </w:t>
      </w:r>
      <w:r w:rsidRPr="00A2521F">
        <w:rPr>
          <w:rFonts w:ascii="Arial" w:hAnsi="Arial" w:cs="Arial"/>
        </w:rPr>
        <w:t>são atribuídas</w:t>
      </w:r>
      <w:r>
        <w:rPr>
          <w:rFonts w:ascii="Arial" w:hAnsi="Arial" w:cs="Arial"/>
        </w:rPr>
        <w:t>, em partes,</w:t>
      </w:r>
      <w:r w:rsidRPr="00A2521F">
        <w:rPr>
          <w:rFonts w:ascii="Arial" w:hAnsi="Arial" w:cs="Arial"/>
        </w:rPr>
        <w:t xml:space="preserve"> às alterações morfológicas e quantitativas dos neurônios </w:t>
      </w:r>
      <w:r w:rsidR="0090127B">
        <w:rPr>
          <w:rFonts w:ascii="Arial" w:hAnsi="Arial" w:cs="Arial"/>
        </w:rPr>
        <w:t>ou á</w:t>
      </w:r>
      <w:r w:rsidRPr="00A2521F">
        <w:rPr>
          <w:rFonts w:ascii="Arial" w:hAnsi="Arial" w:cs="Arial"/>
        </w:rPr>
        <w:t xml:space="preserve"> expressão de neurotransmissores no SNE</w:t>
      </w:r>
      <w:r w:rsidR="00D860DF">
        <w:rPr>
          <w:rFonts w:ascii="Arial" w:hAnsi="Arial" w:cs="Arial"/>
        </w:rPr>
        <w:t>.</w:t>
      </w:r>
      <w:r w:rsidRPr="00A2521F">
        <w:rPr>
          <w:rFonts w:ascii="Arial" w:hAnsi="Arial" w:cs="Arial"/>
        </w:rPr>
        <w:t xml:space="preserve"> Entre os neurotransmissores, ganha destaque o peptídeo relacionado ao gene da calcitonina (CGRP), </w:t>
      </w:r>
      <w:r w:rsidR="00433ADC">
        <w:rPr>
          <w:rStyle w:val="hps"/>
          <w:rFonts w:ascii="Arial" w:hAnsi="Arial" w:cs="Arial"/>
          <w:lang w:val="pt-PT"/>
        </w:rPr>
        <w:t>cuja função envolve</w:t>
      </w:r>
      <w:r>
        <w:rPr>
          <w:rStyle w:val="hps"/>
          <w:rFonts w:ascii="Arial" w:hAnsi="Arial" w:cs="Arial"/>
          <w:lang w:val="pt-PT"/>
        </w:rPr>
        <w:t xml:space="preserve"> </w:t>
      </w:r>
      <w:r w:rsidR="00433ADC">
        <w:rPr>
          <w:rStyle w:val="hps"/>
          <w:rFonts w:ascii="Arial" w:hAnsi="Arial" w:cs="Arial"/>
          <w:lang w:val="pt-PT"/>
        </w:rPr>
        <w:t>a modulação do processo digestivo</w:t>
      </w:r>
      <w:r w:rsidR="00433ADC">
        <w:rPr>
          <w:rFonts w:ascii="Arial" w:hAnsi="Arial" w:cs="Arial"/>
          <w:lang w:val="pt-PT"/>
        </w:rPr>
        <w:t>, d</w:t>
      </w:r>
      <w:r w:rsidRPr="00A2521F">
        <w:rPr>
          <w:rFonts w:ascii="Arial" w:hAnsi="Arial" w:cs="Arial"/>
          <w:lang w:val="pt-PT"/>
        </w:rPr>
        <w:t xml:space="preserve">a </w:t>
      </w:r>
      <w:r w:rsidRPr="00A2521F">
        <w:rPr>
          <w:rStyle w:val="hps"/>
          <w:rFonts w:ascii="Arial" w:hAnsi="Arial" w:cs="Arial"/>
          <w:lang w:val="pt-PT"/>
        </w:rPr>
        <w:t>secreção gástrica</w:t>
      </w:r>
      <w:r w:rsidRPr="00A2521F">
        <w:rPr>
          <w:rFonts w:ascii="Arial" w:hAnsi="Arial" w:cs="Arial"/>
          <w:lang w:val="pt-PT"/>
        </w:rPr>
        <w:t xml:space="preserve">, </w:t>
      </w:r>
      <w:r w:rsidR="00433ADC">
        <w:rPr>
          <w:rFonts w:ascii="Arial" w:hAnsi="Arial" w:cs="Arial"/>
          <w:lang w:val="pt-PT"/>
        </w:rPr>
        <w:t>e da</w:t>
      </w:r>
      <w:r w:rsidRPr="00A2521F">
        <w:rPr>
          <w:rFonts w:ascii="Arial" w:hAnsi="Arial" w:cs="Arial"/>
          <w:lang w:val="pt-PT"/>
        </w:rPr>
        <w:t xml:space="preserve"> </w:t>
      </w:r>
      <w:r w:rsidRPr="00A2521F">
        <w:rPr>
          <w:rStyle w:val="hps"/>
          <w:rFonts w:ascii="Arial" w:hAnsi="Arial" w:cs="Arial"/>
          <w:lang w:val="pt-PT"/>
        </w:rPr>
        <w:t>motilidade gastrintestinal (VILLALÓN; OLESEN, 2009</w:t>
      </w:r>
      <w:r w:rsidRPr="00A2521F">
        <w:rPr>
          <w:rFonts w:ascii="Arial" w:hAnsi="Arial" w:cs="Arial"/>
        </w:rPr>
        <w:t>)</w:t>
      </w:r>
      <w:r w:rsidRPr="00A2521F">
        <w:rPr>
          <w:rFonts w:ascii="Arial" w:hAnsi="Arial" w:cs="Arial"/>
          <w:lang w:val="pt-PT"/>
        </w:rPr>
        <w:t>.</w:t>
      </w:r>
    </w:p>
    <w:p w:rsidR="00365423" w:rsidRDefault="00365423" w:rsidP="00BB6C5E">
      <w:pPr>
        <w:jc w:val="both"/>
        <w:rPr>
          <w:rFonts w:ascii="Arial" w:hAnsi="Arial" w:cs="Arial"/>
        </w:rPr>
      </w:pPr>
    </w:p>
    <w:p w:rsidR="00FE0A87" w:rsidRDefault="00FE0A87" w:rsidP="00BB6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25591A" w:rsidRPr="00BB6C5E" w:rsidRDefault="0025591A" w:rsidP="00BB6C5E">
      <w:pPr>
        <w:jc w:val="both"/>
        <w:rPr>
          <w:rFonts w:ascii="Arial" w:hAnsi="Arial" w:cs="Arial"/>
        </w:rPr>
      </w:pPr>
    </w:p>
    <w:p w:rsidR="00350F4D" w:rsidRDefault="00F138D4" w:rsidP="00D52D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</w:t>
      </w:r>
      <w:r w:rsidR="0025591A">
        <w:rPr>
          <w:rFonts w:ascii="Arial" w:hAnsi="Arial" w:cs="Arial"/>
        </w:rPr>
        <w:t xml:space="preserve"> estudo </w:t>
      </w:r>
      <w:r>
        <w:rPr>
          <w:rFonts w:ascii="Arial" w:hAnsi="Arial" w:cs="Arial"/>
        </w:rPr>
        <w:t>houve uma colaboração d</w:t>
      </w:r>
      <w:r w:rsidR="0025591A">
        <w:rPr>
          <w:rFonts w:ascii="Arial" w:hAnsi="Arial" w:cs="Arial"/>
        </w:rPr>
        <w:t>o</w:t>
      </w:r>
      <w:r w:rsidR="0025591A" w:rsidRPr="008249B8">
        <w:rPr>
          <w:rFonts w:ascii="Arial" w:hAnsi="Arial" w:cs="Arial"/>
        </w:rPr>
        <w:t xml:space="preserve"> Laboratório de Plasticidade Neural Entérica da Universidade Estadual de Maringá</w:t>
      </w:r>
      <w:r w:rsidR="0025591A">
        <w:rPr>
          <w:rFonts w:ascii="Arial" w:hAnsi="Arial" w:cs="Arial"/>
        </w:rPr>
        <w:t xml:space="preserve"> UEM-PR que, gentilmente, cedeu </w:t>
      </w:r>
      <w:r w:rsidR="0025591A" w:rsidRPr="008249B8">
        <w:rPr>
          <w:rFonts w:ascii="Arial" w:hAnsi="Arial" w:cs="Arial"/>
        </w:rPr>
        <w:t>imagens (</w:t>
      </w:r>
      <w:proofErr w:type="spellStart"/>
      <w:r w:rsidR="0025591A" w:rsidRPr="008249B8">
        <w:rPr>
          <w:rFonts w:ascii="Arial" w:hAnsi="Arial" w:cs="Arial"/>
        </w:rPr>
        <w:t>fotomicrografias</w:t>
      </w:r>
      <w:proofErr w:type="spellEnd"/>
      <w:r w:rsidR="0025591A" w:rsidRPr="008249B8">
        <w:rPr>
          <w:rFonts w:ascii="Arial" w:hAnsi="Arial" w:cs="Arial"/>
        </w:rPr>
        <w:t xml:space="preserve">) </w:t>
      </w:r>
      <w:r w:rsidR="0025591A">
        <w:rPr>
          <w:rFonts w:ascii="Arial" w:hAnsi="Arial" w:cs="Arial"/>
        </w:rPr>
        <w:t>para as análises.</w:t>
      </w:r>
      <w:r w:rsidR="0025591A" w:rsidRPr="008249B8">
        <w:rPr>
          <w:rFonts w:ascii="Arial" w:hAnsi="Arial" w:cs="Arial"/>
        </w:rPr>
        <w:t xml:space="preserve"> </w:t>
      </w:r>
      <w:r w:rsidR="00AB0FC3" w:rsidRPr="008249B8">
        <w:rPr>
          <w:rFonts w:ascii="Arial" w:hAnsi="Arial" w:cs="Arial"/>
        </w:rPr>
        <w:t xml:space="preserve">Estas imagens foram </w:t>
      </w:r>
      <w:r w:rsidR="00AB0FC3">
        <w:rPr>
          <w:rFonts w:ascii="Arial" w:hAnsi="Arial" w:cs="Arial"/>
        </w:rPr>
        <w:t xml:space="preserve">capturadas em microscopia de fluorescência e foram </w:t>
      </w:r>
      <w:r w:rsidR="00AB0FC3" w:rsidRPr="008249B8">
        <w:rPr>
          <w:rFonts w:ascii="Arial" w:hAnsi="Arial" w:cs="Arial"/>
        </w:rPr>
        <w:t xml:space="preserve">produzidas </w:t>
      </w:r>
      <w:r w:rsidR="00AB0FC3">
        <w:rPr>
          <w:rFonts w:ascii="Arial" w:hAnsi="Arial" w:cs="Arial"/>
        </w:rPr>
        <w:t xml:space="preserve">por técnica de imunohistoquímica </w:t>
      </w:r>
      <w:r w:rsidR="00AB0FC3" w:rsidRPr="0037731C">
        <w:rPr>
          <w:rFonts w:ascii="Arial" w:hAnsi="Arial" w:cs="Arial"/>
        </w:rPr>
        <w:t>com anticorpos específicos para a proteína CGRP</w:t>
      </w:r>
      <w:r w:rsidR="00AB0FC3">
        <w:rPr>
          <w:rFonts w:ascii="Arial" w:hAnsi="Arial" w:cs="Arial"/>
        </w:rPr>
        <w:t xml:space="preserve">. </w:t>
      </w:r>
      <w:r w:rsidR="00773A64">
        <w:rPr>
          <w:rFonts w:ascii="Arial" w:hAnsi="Arial" w:cs="Arial"/>
        </w:rPr>
        <w:t>F</w:t>
      </w:r>
      <w:r w:rsidR="0025591A" w:rsidRPr="008249B8">
        <w:rPr>
          <w:rFonts w:ascii="Arial" w:hAnsi="Arial" w:cs="Arial"/>
        </w:rPr>
        <w:t xml:space="preserve">oram </w:t>
      </w:r>
      <w:r w:rsidR="00773A64">
        <w:rPr>
          <w:rFonts w:ascii="Arial" w:hAnsi="Arial" w:cs="Arial"/>
        </w:rPr>
        <w:t>utilizados</w:t>
      </w:r>
      <w:r w:rsidR="0025591A" w:rsidRPr="008249B8">
        <w:rPr>
          <w:rFonts w:ascii="Arial" w:hAnsi="Arial" w:cs="Arial"/>
        </w:rPr>
        <w:t xml:space="preserve"> </w:t>
      </w:r>
      <w:proofErr w:type="gramStart"/>
      <w:r w:rsidR="0025591A" w:rsidRPr="008249B8">
        <w:rPr>
          <w:rFonts w:ascii="Arial" w:hAnsi="Arial" w:cs="Arial"/>
        </w:rPr>
        <w:t>2</w:t>
      </w:r>
      <w:proofErr w:type="gramEnd"/>
      <w:r w:rsidR="0025591A" w:rsidRPr="008249B8">
        <w:rPr>
          <w:rFonts w:ascii="Arial" w:hAnsi="Arial" w:cs="Arial"/>
        </w:rPr>
        <w:t xml:space="preserve"> grupos experime</w:t>
      </w:r>
      <w:r w:rsidR="0025591A">
        <w:rPr>
          <w:rFonts w:ascii="Arial" w:hAnsi="Arial" w:cs="Arial"/>
        </w:rPr>
        <w:t xml:space="preserve">ntais com características metodológicas que envolveram 16 </w:t>
      </w:r>
      <w:r w:rsidR="0025591A" w:rsidRPr="00801A1D">
        <w:rPr>
          <w:rFonts w:ascii="Arial" w:hAnsi="Arial" w:cs="Arial"/>
        </w:rPr>
        <w:t xml:space="preserve">ratos </w:t>
      </w:r>
      <w:proofErr w:type="spellStart"/>
      <w:r w:rsidR="0025591A" w:rsidRPr="006D2357">
        <w:rPr>
          <w:rFonts w:ascii="Arial" w:hAnsi="Arial" w:cs="Arial"/>
          <w:i/>
        </w:rPr>
        <w:t>norvergiccus</w:t>
      </w:r>
      <w:proofErr w:type="spellEnd"/>
      <w:r w:rsidR="0025591A" w:rsidRPr="006D2357">
        <w:rPr>
          <w:rFonts w:ascii="Arial" w:hAnsi="Arial" w:cs="Arial"/>
          <w:i/>
        </w:rPr>
        <w:t xml:space="preserve"> </w:t>
      </w:r>
      <w:proofErr w:type="spellStart"/>
      <w:r w:rsidR="0025591A" w:rsidRPr="006D2357">
        <w:rPr>
          <w:rFonts w:ascii="Arial" w:hAnsi="Arial" w:cs="Arial"/>
          <w:i/>
        </w:rPr>
        <w:t>Wistar</w:t>
      </w:r>
      <w:proofErr w:type="spellEnd"/>
      <w:r w:rsidR="0025591A">
        <w:rPr>
          <w:rFonts w:ascii="Arial" w:hAnsi="Arial" w:cs="Arial"/>
        </w:rPr>
        <w:t xml:space="preserve"> machos com 57 dias de idade,</w:t>
      </w:r>
      <w:r w:rsidR="0025591A" w:rsidRPr="00801A1D">
        <w:rPr>
          <w:rFonts w:ascii="Arial" w:hAnsi="Arial" w:cs="Arial"/>
        </w:rPr>
        <w:t xml:space="preserve"> divididos em </w:t>
      </w:r>
      <w:r w:rsidR="0025591A">
        <w:rPr>
          <w:rFonts w:ascii="Arial" w:hAnsi="Arial" w:cs="Arial"/>
        </w:rPr>
        <w:t>dois</w:t>
      </w:r>
      <w:r w:rsidR="0025591A" w:rsidRPr="00801A1D">
        <w:rPr>
          <w:rFonts w:ascii="Arial" w:hAnsi="Arial" w:cs="Arial"/>
        </w:rPr>
        <w:t xml:space="preserve"> grupos experimentais com n=</w:t>
      </w:r>
      <w:r w:rsidR="003402A1">
        <w:rPr>
          <w:rFonts w:ascii="Arial" w:hAnsi="Arial" w:cs="Arial"/>
        </w:rPr>
        <w:t>8</w:t>
      </w:r>
      <w:r w:rsidR="0025591A" w:rsidRPr="00801A1D">
        <w:rPr>
          <w:rFonts w:ascii="Arial" w:hAnsi="Arial" w:cs="Arial"/>
        </w:rPr>
        <w:t xml:space="preserve">. Os </w:t>
      </w:r>
      <w:r w:rsidR="0025591A">
        <w:rPr>
          <w:rFonts w:ascii="Arial" w:hAnsi="Arial" w:cs="Arial"/>
        </w:rPr>
        <w:t xml:space="preserve">animais dos </w:t>
      </w:r>
      <w:r w:rsidR="0025591A" w:rsidRPr="00801A1D">
        <w:rPr>
          <w:rFonts w:ascii="Arial" w:hAnsi="Arial" w:cs="Arial"/>
        </w:rPr>
        <w:t>grupos exper</w:t>
      </w:r>
      <w:r w:rsidR="0025591A">
        <w:rPr>
          <w:rFonts w:ascii="Arial" w:hAnsi="Arial" w:cs="Arial"/>
        </w:rPr>
        <w:t>imentais,</w:t>
      </w:r>
      <w:r w:rsidR="0025591A" w:rsidRPr="00801A1D">
        <w:rPr>
          <w:rFonts w:ascii="Arial" w:hAnsi="Arial" w:cs="Arial"/>
        </w:rPr>
        <w:t xml:space="preserve"> Controle</w:t>
      </w:r>
      <w:r w:rsidR="0025591A">
        <w:rPr>
          <w:rFonts w:ascii="Arial" w:hAnsi="Arial" w:cs="Arial"/>
        </w:rPr>
        <w:t xml:space="preserve"> (C) e p</w:t>
      </w:r>
      <w:r w:rsidR="0025591A" w:rsidRPr="00801A1D">
        <w:rPr>
          <w:rFonts w:ascii="Arial" w:hAnsi="Arial" w:cs="Arial"/>
        </w:rPr>
        <w:t>o</w:t>
      </w:r>
      <w:r w:rsidR="0025591A">
        <w:rPr>
          <w:rFonts w:ascii="Arial" w:hAnsi="Arial" w:cs="Arial"/>
        </w:rPr>
        <w:t xml:space="preserve">rtadores de tumor de Walker-256 implantados </w:t>
      </w:r>
      <w:r w:rsidR="0025591A" w:rsidRPr="00801A1D">
        <w:rPr>
          <w:rFonts w:ascii="Arial" w:hAnsi="Arial" w:cs="Arial"/>
        </w:rPr>
        <w:t xml:space="preserve">no flanco direito </w:t>
      </w:r>
      <w:r w:rsidR="0025591A">
        <w:rPr>
          <w:rFonts w:ascii="Arial" w:hAnsi="Arial" w:cs="Arial"/>
        </w:rPr>
        <w:t>(TW), ao</w:t>
      </w:r>
      <w:r w:rsidR="0025591A" w:rsidRPr="00801A1D">
        <w:rPr>
          <w:rFonts w:ascii="Arial" w:hAnsi="Arial" w:cs="Arial"/>
        </w:rPr>
        <w:t xml:space="preserve"> final de 14 dias</w:t>
      </w:r>
      <w:r w:rsidR="0025591A">
        <w:rPr>
          <w:rFonts w:ascii="Arial" w:hAnsi="Arial" w:cs="Arial"/>
        </w:rPr>
        <w:t xml:space="preserve">, </w:t>
      </w:r>
      <w:r w:rsidR="0025591A" w:rsidRPr="00801A1D">
        <w:rPr>
          <w:rFonts w:ascii="Arial" w:hAnsi="Arial" w:cs="Arial"/>
        </w:rPr>
        <w:t xml:space="preserve">foram eutanasiados para coleta </w:t>
      </w:r>
      <w:r w:rsidR="0025591A">
        <w:rPr>
          <w:rFonts w:ascii="Arial" w:hAnsi="Arial" w:cs="Arial"/>
        </w:rPr>
        <w:t xml:space="preserve">e processamento do </w:t>
      </w:r>
      <w:r>
        <w:rPr>
          <w:rFonts w:ascii="Arial" w:hAnsi="Arial" w:cs="Arial"/>
        </w:rPr>
        <w:t>íleo</w:t>
      </w:r>
      <w:r w:rsidR="0025591A">
        <w:rPr>
          <w:rFonts w:ascii="Arial" w:hAnsi="Arial" w:cs="Arial"/>
        </w:rPr>
        <w:t xml:space="preserve"> </w:t>
      </w:r>
      <w:r w:rsidR="0025591A" w:rsidRPr="008249B8">
        <w:rPr>
          <w:rFonts w:ascii="Arial" w:hAnsi="Arial" w:cs="Arial"/>
        </w:rPr>
        <w:t xml:space="preserve">para obtenção de preparados </w:t>
      </w:r>
      <w:r w:rsidRPr="008249B8">
        <w:rPr>
          <w:rFonts w:ascii="Arial" w:hAnsi="Arial" w:cs="Arial"/>
        </w:rPr>
        <w:t>totais da túnica muscular para análise morfométrica</w:t>
      </w:r>
      <w:r>
        <w:rPr>
          <w:rFonts w:ascii="Arial" w:hAnsi="Arial" w:cs="Arial"/>
        </w:rPr>
        <w:t xml:space="preserve"> das varicosidades imunorreativas ao CGRP (CGRP-IR)</w:t>
      </w:r>
      <w:r w:rsidR="00AB0FC3">
        <w:rPr>
          <w:rFonts w:ascii="Arial" w:hAnsi="Arial" w:cs="Arial"/>
        </w:rPr>
        <w:t xml:space="preserve"> ao longo das fibras nervosas mioentéricas.</w:t>
      </w:r>
      <w:r w:rsidR="00D52D39">
        <w:rPr>
          <w:rFonts w:ascii="Arial" w:hAnsi="Arial" w:cs="Arial"/>
        </w:rPr>
        <w:t xml:space="preserve"> </w:t>
      </w:r>
      <w:r w:rsidR="000217A8">
        <w:rPr>
          <w:rFonts w:ascii="Arial" w:hAnsi="Arial" w:cs="Arial"/>
        </w:rPr>
        <w:t>Foram</w:t>
      </w:r>
      <w:r w:rsidR="002C7196">
        <w:rPr>
          <w:rFonts w:ascii="Arial" w:hAnsi="Arial" w:cs="Arial"/>
        </w:rPr>
        <w:t xml:space="preserve"> </w:t>
      </w:r>
      <w:r w:rsidR="000217A8">
        <w:rPr>
          <w:rFonts w:ascii="Arial" w:hAnsi="Arial" w:cs="Arial"/>
        </w:rPr>
        <w:t xml:space="preserve">mensuradas </w:t>
      </w:r>
      <w:r w:rsidR="000217A8">
        <w:rPr>
          <w:rFonts w:ascii="Arial" w:hAnsi="Arial" w:cs="Arial"/>
          <w:bCs/>
        </w:rPr>
        <w:t>as</w:t>
      </w:r>
      <w:r w:rsidR="000217A8" w:rsidRPr="00FA42F4">
        <w:rPr>
          <w:rFonts w:ascii="Arial" w:hAnsi="Arial" w:cs="Arial"/>
          <w:bCs/>
        </w:rPr>
        <w:t xml:space="preserve"> área</w:t>
      </w:r>
      <w:r w:rsidR="000217A8">
        <w:rPr>
          <w:rFonts w:ascii="Arial" w:hAnsi="Arial" w:cs="Arial"/>
          <w:bCs/>
        </w:rPr>
        <w:t>s</w:t>
      </w:r>
      <w:r w:rsidR="000217A8" w:rsidRPr="00FA42F4">
        <w:rPr>
          <w:rFonts w:ascii="Arial" w:hAnsi="Arial" w:cs="Arial"/>
          <w:bCs/>
        </w:rPr>
        <w:t xml:space="preserve"> de 400 varicosidades (μm</w:t>
      </w:r>
      <w:r w:rsidR="000217A8" w:rsidRPr="00FA42F4">
        <w:rPr>
          <w:rFonts w:ascii="Arial" w:hAnsi="Arial" w:cs="Arial"/>
          <w:bCs/>
          <w:vertAlign w:val="superscript"/>
        </w:rPr>
        <w:t>2</w:t>
      </w:r>
      <w:r w:rsidR="000217A8">
        <w:rPr>
          <w:rFonts w:ascii="Arial" w:hAnsi="Arial" w:cs="Arial"/>
          <w:bCs/>
        </w:rPr>
        <w:t xml:space="preserve">) </w:t>
      </w:r>
      <w:r w:rsidR="00D52D39">
        <w:rPr>
          <w:rFonts w:ascii="Arial" w:hAnsi="Arial" w:cs="Arial"/>
        </w:rPr>
        <w:t>por animal</w:t>
      </w:r>
      <w:r w:rsidR="00D52D39">
        <w:rPr>
          <w:rFonts w:ascii="Arial" w:hAnsi="Arial" w:cs="Arial"/>
          <w:bCs/>
        </w:rPr>
        <w:t xml:space="preserve"> </w:t>
      </w:r>
      <w:r w:rsidR="005C2241">
        <w:rPr>
          <w:rFonts w:ascii="Arial" w:hAnsi="Arial" w:cs="Arial"/>
        </w:rPr>
        <w:t>na região intermediária do íleo</w:t>
      </w:r>
      <w:r w:rsidR="00D52D39">
        <w:rPr>
          <w:rFonts w:ascii="Arial" w:hAnsi="Arial" w:cs="Arial"/>
        </w:rPr>
        <w:t>,</w:t>
      </w:r>
      <w:r w:rsidR="005C2241">
        <w:rPr>
          <w:rFonts w:ascii="Arial" w:hAnsi="Arial" w:cs="Arial"/>
        </w:rPr>
        <w:t xml:space="preserve"> </w:t>
      </w:r>
      <w:r w:rsidR="005C2241">
        <w:rPr>
          <w:rFonts w:ascii="Arial" w:hAnsi="Arial" w:cs="Arial"/>
          <w:bCs/>
        </w:rPr>
        <w:t>em</w:t>
      </w:r>
      <w:r w:rsidR="004E268D" w:rsidRPr="00FA42F4">
        <w:rPr>
          <w:rFonts w:ascii="Arial" w:hAnsi="Arial" w:cs="Arial"/>
          <w:bCs/>
        </w:rPr>
        <w:t xml:space="preserve"> </w:t>
      </w:r>
      <w:r w:rsidR="002C7196">
        <w:rPr>
          <w:rFonts w:ascii="Arial" w:hAnsi="Arial" w:cs="Arial"/>
          <w:bCs/>
        </w:rPr>
        <w:t xml:space="preserve">um </w:t>
      </w:r>
      <w:r w:rsidR="004E268D" w:rsidRPr="00FA42F4">
        <w:rPr>
          <w:rFonts w:ascii="Arial" w:hAnsi="Arial" w:cs="Arial"/>
          <w:bCs/>
        </w:rPr>
        <w:t>programa de análise de imagens (</w:t>
      </w:r>
      <w:proofErr w:type="spellStart"/>
      <w:r w:rsidR="004E268D" w:rsidRPr="00FA42F4">
        <w:rPr>
          <w:rFonts w:ascii="Arial" w:hAnsi="Arial" w:cs="Arial"/>
          <w:bCs/>
        </w:rPr>
        <w:t>Image</w:t>
      </w:r>
      <w:proofErr w:type="spellEnd"/>
      <w:r w:rsidR="004E268D" w:rsidRPr="00FA42F4">
        <w:rPr>
          <w:rFonts w:ascii="Arial" w:hAnsi="Arial" w:cs="Arial"/>
          <w:bCs/>
        </w:rPr>
        <w:t xml:space="preserve"> Pro Plus 4.5)</w:t>
      </w:r>
      <w:r w:rsidR="002C7196">
        <w:rPr>
          <w:rFonts w:ascii="Arial" w:hAnsi="Arial" w:cs="Arial"/>
          <w:bCs/>
        </w:rPr>
        <w:t>, totalizando</w:t>
      </w:r>
      <w:r w:rsidR="004E268D" w:rsidRPr="00FA42F4">
        <w:rPr>
          <w:rFonts w:ascii="Arial" w:hAnsi="Arial" w:cs="Arial"/>
          <w:bCs/>
        </w:rPr>
        <w:t xml:space="preserve"> 3200 mensurações por grupo.</w:t>
      </w:r>
      <w:r w:rsidR="00653B0A" w:rsidRPr="00653B0A">
        <w:rPr>
          <w:rFonts w:ascii="Arial" w:hAnsi="Arial" w:cs="Arial"/>
        </w:rPr>
        <w:t xml:space="preserve"> </w:t>
      </w:r>
      <w:r w:rsidR="00653B0A">
        <w:rPr>
          <w:rFonts w:ascii="Arial" w:hAnsi="Arial" w:cs="Arial"/>
        </w:rPr>
        <w:t xml:space="preserve">Os resultados neste estudo estão expressos como </w:t>
      </w:r>
      <w:r w:rsidR="00653B0A">
        <w:rPr>
          <w:rFonts w:ascii="Arial" w:hAnsi="Arial" w:cs="Arial"/>
          <w:lang w:eastAsia="pt-BR"/>
        </w:rPr>
        <w:t xml:space="preserve">média </w:t>
      </w:r>
      <w:r w:rsidR="00653B0A" w:rsidRPr="00392969">
        <w:rPr>
          <w:rFonts w:ascii="Arial" w:hAnsi="Arial" w:cs="Arial"/>
          <w:lang w:eastAsia="pt-BR"/>
        </w:rPr>
        <w:t>±</w:t>
      </w:r>
      <w:r w:rsidR="00653B0A">
        <w:rPr>
          <w:rFonts w:ascii="Arial" w:hAnsi="Arial" w:cs="Arial"/>
          <w:lang w:eastAsia="pt-BR"/>
        </w:rPr>
        <w:t xml:space="preserve"> erro padrão da média</w:t>
      </w:r>
      <w:r w:rsidR="00653B0A">
        <w:rPr>
          <w:rFonts w:ascii="Arial" w:hAnsi="Arial" w:cs="Arial"/>
        </w:rPr>
        <w:t xml:space="preserve">. </w:t>
      </w:r>
      <w:r w:rsidR="005C2241">
        <w:rPr>
          <w:rFonts w:ascii="Arial" w:hAnsi="Arial" w:cs="Arial"/>
          <w:bCs/>
        </w:rPr>
        <w:t>Para</w:t>
      </w:r>
      <w:r w:rsidR="006B1E04">
        <w:rPr>
          <w:rFonts w:ascii="Arial" w:hAnsi="Arial" w:cs="Arial"/>
          <w:bCs/>
        </w:rPr>
        <w:t xml:space="preserve"> </w:t>
      </w:r>
      <w:r w:rsidR="005C2241">
        <w:rPr>
          <w:rFonts w:ascii="Arial" w:hAnsi="Arial" w:cs="Arial"/>
          <w:bCs/>
        </w:rPr>
        <w:t xml:space="preserve">o </w:t>
      </w:r>
      <w:r w:rsidR="006B1E04">
        <w:rPr>
          <w:rFonts w:ascii="Arial" w:hAnsi="Arial" w:cs="Arial"/>
          <w:bCs/>
        </w:rPr>
        <w:t>tratamento e</w:t>
      </w:r>
      <w:r w:rsidR="004E268D" w:rsidRPr="00AD7806">
        <w:rPr>
          <w:rFonts w:ascii="Arial" w:hAnsi="Arial" w:cs="Arial"/>
          <w:bCs/>
        </w:rPr>
        <w:t>statístico</w:t>
      </w:r>
      <w:r w:rsidR="004E268D">
        <w:rPr>
          <w:rFonts w:ascii="Arial" w:hAnsi="Arial" w:cs="Arial"/>
          <w:bCs/>
        </w:rPr>
        <w:t xml:space="preserve"> dos</w:t>
      </w:r>
      <w:r w:rsidR="006B1E04">
        <w:rPr>
          <w:rFonts w:ascii="Arial" w:hAnsi="Arial" w:cs="Arial"/>
        </w:rPr>
        <w:t xml:space="preserve"> resultados</w:t>
      </w:r>
      <w:r w:rsidR="00D52D39">
        <w:rPr>
          <w:rFonts w:ascii="Arial" w:hAnsi="Arial" w:cs="Arial"/>
        </w:rPr>
        <w:t>,</w:t>
      </w:r>
      <w:r w:rsidR="006B1E04">
        <w:rPr>
          <w:rFonts w:ascii="Arial" w:hAnsi="Arial" w:cs="Arial"/>
        </w:rPr>
        <w:t xml:space="preserve"> </w:t>
      </w:r>
      <w:r w:rsidR="005C2241">
        <w:rPr>
          <w:rFonts w:ascii="Arial" w:hAnsi="Arial" w:cs="Arial"/>
        </w:rPr>
        <w:t xml:space="preserve">foi utilizado o teste </w:t>
      </w:r>
      <w:r w:rsidR="005C2241" w:rsidRPr="005C2241">
        <w:rPr>
          <w:rFonts w:ascii="Arial" w:hAnsi="Arial" w:cs="Arial"/>
          <w:i/>
        </w:rPr>
        <w:t>t</w:t>
      </w:r>
      <w:r w:rsidR="005C2241">
        <w:rPr>
          <w:rFonts w:ascii="Arial" w:hAnsi="Arial" w:cs="Arial"/>
        </w:rPr>
        <w:t xml:space="preserve"> de </w:t>
      </w:r>
      <w:proofErr w:type="spellStart"/>
      <w:r w:rsidR="005C2241">
        <w:rPr>
          <w:rFonts w:ascii="Arial" w:hAnsi="Arial" w:cs="Arial"/>
        </w:rPr>
        <w:t>student</w:t>
      </w:r>
      <w:proofErr w:type="spellEnd"/>
      <w:r w:rsidR="004E268D" w:rsidRPr="008249B8">
        <w:rPr>
          <w:rFonts w:ascii="Arial" w:hAnsi="Arial" w:cs="Arial"/>
        </w:rPr>
        <w:t xml:space="preserve"> através do programa </w:t>
      </w:r>
      <w:proofErr w:type="spellStart"/>
      <w:proofErr w:type="gramStart"/>
      <w:r w:rsidR="004E268D" w:rsidRPr="008249B8">
        <w:rPr>
          <w:rFonts w:ascii="Arial" w:hAnsi="Arial" w:cs="Arial"/>
        </w:rPr>
        <w:t>GraphPad</w:t>
      </w:r>
      <w:proofErr w:type="spellEnd"/>
      <w:proofErr w:type="gramEnd"/>
      <w:r w:rsidR="004E268D" w:rsidRPr="008249B8">
        <w:rPr>
          <w:rFonts w:ascii="Arial" w:hAnsi="Arial" w:cs="Arial"/>
        </w:rPr>
        <w:t xml:space="preserve"> </w:t>
      </w:r>
      <w:proofErr w:type="spellStart"/>
      <w:r w:rsidR="004E268D" w:rsidRPr="008249B8">
        <w:rPr>
          <w:rFonts w:ascii="Arial" w:hAnsi="Arial" w:cs="Arial"/>
        </w:rPr>
        <w:t>Prism</w:t>
      </w:r>
      <w:proofErr w:type="spellEnd"/>
      <w:r w:rsidR="004E268D" w:rsidRPr="008249B8">
        <w:rPr>
          <w:rFonts w:ascii="Arial" w:hAnsi="Arial" w:cs="Arial"/>
        </w:rPr>
        <w:t xml:space="preserve"> 6</w:t>
      </w:r>
      <w:r w:rsidR="004E268D">
        <w:rPr>
          <w:rFonts w:ascii="Arial" w:hAnsi="Arial" w:cs="Arial"/>
        </w:rPr>
        <w:t xml:space="preserve"> com</w:t>
      </w:r>
      <w:r w:rsidR="004E268D" w:rsidRPr="008249B8">
        <w:rPr>
          <w:rFonts w:ascii="Arial" w:hAnsi="Arial" w:cs="Arial"/>
        </w:rPr>
        <w:t xml:space="preserve"> nível de significância de 5%.</w:t>
      </w:r>
      <w:r w:rsidR="005C2241">
        <w:rPr>
          <w:rFonts w:ascii="Arial" w:hAnsi="Arial" w:cs="Arial"/>
        </w:rPr>
        <w:t xml:space="preserve"> </w:t>
      </w:r>
      <w:r w:rsidR="005C2241" w:rsidRPr="00801A1D">
        <w:rPr>
          <w:rFonts w:ascii="Arial" w:hAnsi="Arial" w:cs="Arial"/>
        </w:rPr>
        <w:t>Valores de p&lt;0,05 foram considerados estatisticamente significantes.</w:t>
      </w:r>
      <w:r w:rsidR="005C2241">
        <w:rPr>
          <w:rFonts w:ascii="Arial" w:hAnsi="Arial" w:cs="Arial"/>
        </w:rPr>
        <w:t xml:space="preserve"> Os procedimentos envolvidos neste estudo foram aprovados pelo </w:t>
      </w:r>
      <w:r w:rsidR="005C2241" w:rsidRPr="0037731C">
        <w:rPr>
          <w:rFonts w:ascii="Arial" w:hAnsi="Arial" w:cs="Arial"/>
        </w:rPr>
        <w:t>Comitê de Conduta Ética no uso de Animais em Experimentação</w:t>
      </w:r>
      <w:r w:rsidR="005C2241" w:rsidRPr="002A3659">
        <w:rPr>
          <w:rFonts w:ascii="Arial" w:hAnsi="Arial" w:cs="Arial"/>
        </w:rPr>
        <w:t xml:space="preserve"> sob o</w:t>
      </w:r>
      <w:r w:rsidR="005C2241">
        <w:rPr>
          <w:rFonts w:ascii="Arial" w:hAnsi="Arial" w:cs="Arial"/>
        </w:rPr>
        <w:t xml:space="preserve"> Parecer 99/2012-CEAE </w:t>
      </w:r>
      <w:r w:rsidR="005C2241" w:rsidRPr="002A3659">
        <w:rPr>
          <w:rFonts w:ascii="Arial" w:hAnsi="Arial" w:cs="Arial"/>
        </w:rPr>
        <w:t>(UEM).</w:t>
      </w:r>
    </w:p>
    <w:p w:rsidR="005C2241" w:rsidRDefault="005C2241" w:rsidP="005C2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E0A87" w:rsidRDefault="00FE0A87" w:rsidP="00350F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5D7B5B" w:rsidRDefault="00692E97" w:rsidP="00DA57D8">
      <w:pPr>
        <w:ind w:firstLine="708"/>
        <w:jc w:val="both"/>
        <w:rPr>
          <w:rFonts w:ascii="Arial" w:hAnsi="Arial" w:cs="Arial"/>
        </w:rPr>
      </w:pPr>
      <w:r w:rsidRPr="006113F2">
        <w:rPr>
          <w:rFonts w:ascii="Arial" w:hAnsi="Arial" w:cs="Arial"/>
        </w:rPr>
        <w:t xml:space="preserve">Neste estudo, as varicosidades foram identificadas e determinadas como sendo dilatações ao longo da fibra nervosa analisada, as quais acumulam em seu </w:t>
      </w:r>
      <w:r w:rsidRPr="006113F2">
        <w:rPr>
          <w:rFonts w:ascii="Arial" w:hAnsi="Arial" w:cs="Arial"/>
        </w:rPr>
        <w:lastRenderedPageBreak/>
        <w:t xml:space="preserve">interior o CGRP. </w:t>
      </w:r>
      <w:r w:rsidR="00051FDD">
        <w:rPr>
          <w:rFonts w:ascii="Arial" w:hAnsi="Arial" w:cs="Arial"/>
        </w:rPr>
        <w:t xml:space="preserve">A análise morfométrica revelou que os </w:t>
      </w:r>
      <w:r w:rsidRPr="006113F2">
        <w:rPr>
          <w:rFonts w:ascii="Arial" w:hAnsi="Arial" w:cs="Arial"/>
        </w:rPr>
        <w:t>valores médios das áreas das va</w:t>
      </w:r>
      <w:r w:rsidR="00B25D09" w:rsidRPr="006113F2">
        <w:rPr>
          <w:rFonts w:ascii="Arial" w:hAnsi="Arial" w:cs="Arial"/>
        </w:rPr>
        <w:t>ricosidades</w:t>
      </w:r>
      <w:r w:rsidR="006C5FFB" w:rsidRPr="006113F2">
        <w:rPr>
          <w:rFonts w:ascii="Arial" w:hAnsi="Arial" w:cs="Arial"/>
        </w:rPr>
        <w:t xml:space="preserve"> encontrados </w:t>
      </w:r>
      <w:r w:rsidR="00C75E98">
        <w:rPr>
          <w:rFonts w:ascii="Arial" w:hAnsi="Arial" w:cs="Arial"/>
        </w:rPr>
        <w:t>mostram diferença estatística significante</w:t>
      </w:r>
      <w:r w:rsidR="006C5FFB" w:rsidRPr="006113F2">
        <w:rPr>
          <w:rFonts w:ascii="Arial" w:hAnsi="Arial" w:cs="Arial"/>
        </w:rPr>
        <w:t xml:space="preserve">, tendo o grupo TW uma área de </w:t>
      </w:r>
      <w:r w:rsidR="00653B0A">
        <w:rPr>
          <w:rFonts w:ascii="Arial" w:hAnsi="Arial" w:cs="Arial"/>
          <w:lang w:eastAsia="pt-BR"/>
        </w:rPr>
        <w:t>2.77 ± 0.032</w:t>
      </w:r>
      <w:r w:rsidR="006C5FFB" w:rsidRPr="006113F2">
        <w:rPr>
          <w:rFonts w:ascii="Arial" w:hAnsi="Arial" w:cs="Arial"/>
          <w:lang w:eastAsia="pt-BR"/>
        </w:rPr>
        <w:t xml:space="preserve">, enquanto o grupo C apresentou uma área de </w:t>
      </w:r>
      <w:r w:rsidR="006C5FFB" w:rsidRPr="006C5FFB">
        <w:rPr>
          <w:rFonts w:ascii="Arial" w:hAnsi="Arial" w:cs="Arial"/>
          <w:lang w:eastAsia="pt-BR"/>
        </w:rPr>
        <w:t>2.0</w:t>
      </w:r>
      <w:r w:rsidR="00653B0A">
        <w:rPr>
          <w:rFonts w:ascii="Arial" w:hAnsi="Arial" w:cs="Arial"/>
          <w:lang w:eastAsia="pt-BR"/>
        </w:rPr>
        <w:t>6</w:t>
      </w:r>
      <w:r w:rsidR="006C5FFB" w:rsidRPr="006C5FFB">
        <w:rPr>
          <w:rFonts w:ascii="Arial" w:hAnsi="Arial" w:cs="Arial"/>
          <w:lang w:eastAsia="pt-BR"/>
        </w:rPr>
        <w:t xml:space="preserve"> ± 0.02</w:t>
      </w:r>
      <w:r w:rsidR="00653B0A">
        <w:rPr>
          <w:rFonts w:ascii="Arial" w:hAnsi="Arial" w:cs="Arial"/>
          <w:lang w:eastAsia="pt-BR"/>
        </w:rPr>
        <w:t>5</w:t>
      </w:r>
      <w:r w:rsidR="006113F2">
        <w:rPr>
          <w:rFonts w:ascii="Arial" w:hAnsi="Arial" w:cs="Arial"/>
          <w:lang w:eastAsia="pt-BR"/>
        </w:rPr>
        <w:t xml:space="preserve">, conforme </w:t>
      </w:r>
      <w:r w:rsidR="00B25D09" w:rsidRPr="006113F2">
        <w:rPr>
          <w:rFonts w:ascii="Arial" w:hAnsi="Arial" w:cs="Arial"/>
        </w:rPr>
        <w:t>estão mostrados na figura</w:t>
      </w:r>
      <w:r w:rsidRPr="006113F2">
        <w:rPr>
          <w:rFonts w:ascii="Arial" w:hAnsi="Arial" w:cs="Arial"/>
        </w:rPr>
        <w:t xml:space="preserve"> 1</w:t>
      </w:r>
      <w:r w:rsidR="00653B0A">
        <w:rPr>
          <w:rFonts w:ascii="Arial" w:hAnsi="Arial" w:cs="Arial"/>
        </w:rPr>
        <w:t>.</w:t>
      </w:r>
      <w:r w:rsidR="00DA57D8">
        <w:rPr>
          <w:rFonts w:ascii="Arial" w:hAnsi="Arial" w:cs="Arial"/>
        </w:rPr>
        <w:t xml:space="preserve"> </w:t>
      </w:r>
    </w:p>
    <w:p w:rsidR="005D7B5B" w:rsidRDefault="00591DA5" w:rsidP="006B1E04">
      <w:pPr>
        <w:jc w:val="center"/>
        <w:rPr>
          <w:rFonts w:ascii="Arial" w:hAnsi="Arial" w:cs="Arial"/>
        </w:rPr>
      </w:pPr>
      <w:r w:rsidRPr="006B1E04">
        <w:rPr>
          <w:rFonts w:ascii="Arial" w:hAnsi="Arial" w:cs="Arial"/>
        </w:rPr>
        <w:object w:dxaOrig="5193" w:dyaOrig="4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pt;height:170.5pt" o:ole="">
            <v:imagedata r:id="rId8" o:title=""/>
          </v:shape>
          <o:OLEObject Type="Embed" ProgID="Prism6.Document" ShapeID="_x0000_i1025" DrawAspect="Content" ObjectID="_1502918176" r:id="rId9"/>
        </w:object>
      </w:r>
    </w:p>
    <w:p w:rsidR="00051FDD" w:rsidRPr="00906241" w:rsidRDefault="00051FDD" w:rsidP="00350F4D">
      <w:pPr>
        <w:jc w:val="center"/>
        <w:rPr>
          <w:rFonts w:ascii="Arial" w:hAnsi="Arial" w:cs="Arial"/>
          <w:sz w:val="20"/>
          <w:szCs w:val="20"/>
        </w:rPr>
      </w:pPr>
      <w:r w:rsidRPr="00906241">
        <w:rPr>
          <w:rFonts w:ascii="Arial" w:hAnsi="Arial" w:cs="Arial"/>
          <w:b/>
          <w:sz w:val="20"/>
          <w:szCs w:val="20"/>
        </w:rPr>
        <w:t xml:space="preserve">Figura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– </w:t>
      </w:r>
      <w:r w:rsidR="000C407F" w:rsidRPr="000C407F">
        <w:rPr>
          <w:rFonts w:ascii="Arial" w:hAnsi="Arial" w:cs="Arial"/>
          <w:sz w:val="20"/>
          <w:szCs w:val="20"/>
        </w:rPr>
        <w:t xml:space="preserve">Área média das varicosidades </w:t>
      </w:r>
      <w:r w:rsidR="000C407F">
        <w:rPr>
          <w:rFonts w:ascii="Arial" w:hAnsi="Arial" w:cs="Arial"/>
          <w:sz w:val="20"/>
          <w:szCs w:val="20"/>
        </w:rPr>
        <w:t>CGRP</w:t>
      </w:r>
      <w:r w:rsidR="000C407F" w:rsidRPr="000C407F">
        <w:rPr>
          <w:rFonts w:ascii="Arial" w:hAnsi="Arial" w:cs="Arial"/>
          <w:sz w:val="20"/>
          <w:szCs w:val="20"/>
        </w:rPr>
        <w:t>-IR (µm2) d</w:t>
      </w:r>
      <w:r w:rsidR="000C407F">
        <w:rPr>
          <w:rFonts w:ascii="Arial" w:hAnsi="Arial" w:cs="Arial"/>
          <w:sz w:val="20"/>
          <w:szCs w:val="20"/>
        </w:rPr>
        <w:t>as</w:t>
      </w:r>
      <w:r w:rsidR="000C407F" w:rsidRPr="000C407F">
        <w:rPr>
          <w:rFonts w:ascii="Arial" w:hAnsi="Arial" w:cs="Arial"/>
          <w:sz w:val="20"/>
          <w:szCs w:val="20"/>
        </w:rPr>
        <w:t xml:space="preserve"> fibras nervosa</w:t>
      </w:r>
      <w:r w:rsidR="000C407F">
        <w:rPr>
          <w:rFonts w:ascii="Arial" w:hAnsi="Arial" w:cs="Arial"/>
          <w:sz w:val="20"/>
          <w:szCs w:val="20"/>
        </w:rPr>
        <w:t>s do plexo mioentérico do íleo</w:t>
      </w:r>
      <w:r w:rsidR="000C407F" w:rsidRPr="000C407F">
        <w:rPr>
          <w:rFonts w:ascii="Arial" w:hAnsi="Arial" w:cs="Arial"/>
          <w:sz w:val="20"/>
          <w:szCs w:val="20"/>
        </w:rPr>
        <w:t xml:space="preserve"> de ratos perten</w:t>
      </w:r>
      <w:r w:rsidR="000C407F">
        <w:rPr>
          <w:rFonts w:ascii="Arial" w:hAnsi="Arial" w:cs="Arial"/>
          <w:sz w:val="20"/>
          <w:szCs w:val="20"/>
        </w:rPr>
        <w:t>centes aos grupos: Controle (C) e</w:t>
      </w:r>
      <w:r w:rsidR="000C407F" w:rsidRPr="000C407F">
        <w:rPr>
          <w:rFonts w:ascii="Arial" w:hAnsi="Arial" w:cs="Arial"/>
          <w:sz w:val="20"/>
          <w:szCs w:val="20"/>
        </w:rPr>
        <w:t xml:space="preserve"> Portadores de Tumor de Walker 256 (TW). n= 8 animais por grupo. p &lt; 0,0</w:t>
      </w:r>
      <w:r w:rsidR="001B39B9">
        <w:rPr>
          <w:rFonts w:ascii="Arial" w:hAnsi="Arial" w:cs="Arial"/>
          <w:sz w:val="20"/>
          <w:szCs w:val="20"/>
        </w:rPr>
        <w:t>001</w:t>
      </w:r>
      <w:r w:rsidR="000C407F" w:rsidRPr="000C407F">
        <w:rPr>
          <w:rFonts w:ascii="Arial" w:hAnsi="Arial" w:cs="Arial"/>
          <w:sz w:val="20"/>
          <w:szCs w:val="20"/>
        </w:rPr>
        <w:t xml:space="preserve"> </w:t>
      </w:r>
      <w:r w:rsidR="007754A1">
        <w:rPr>
          <w:rFonts w:ascii="Arial" w:hAnsi="Arial" w:cs="Arial"/>
          <w:sz w:val="20"/>
          <w:szCs w:val="20"/>
        </w:rPr>
        <w:t>(</w:t>
      </w:r>
      <w:proofErr w:type="spellStart"/>
      <w:r w:rsidR="001B39B9" w:rsidRPr="001B39B9">
        <w:rPr>
          <w:rFonts w:ascii="Arial" w:hAnsi="Arial" w:cs="Arial"/>
          <w:sz w:val="20"/>
          <w:szCs w:val="20"/>
        </w:rPr>
        <w:t>test</w:t>
      </w:r>
      <w:proofErr w:type="spellEnd"/>
      <w:r w:rsidR="001B39B9" w:rsidRPr="001B39B9">
        <w:rPr>
          <w:rFonts w:ascii="Arial" w:hAnsi="Arial" w:cs="Arial"/>
          <w:sz w:val="20"/>
          <w:szCs w:val="20"/>
        </w:rPr>
        <w:t xml:space="preserve"> </w:t>
      </w:r>
      <w:r w:rsidR="001B39B9" w:rsidRPr="00957975">
        <w:rPr>
          <w:rFonts w:ascii="Arial" w:hAnsi="Arial" w:cs="Arial"/>
          <w:i/>
          <w:sz w:val="20"/>
          <w:szCs w:val="20"/>
        </w:rPr>
        <w:t>t</w:t>
      </w:r>
      <w:r w:rsidR="001B39B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B39B9">
        <w:rPr>
          <w:rFonts w:ascii="Arial" w:hAnsi="Arial" w:cs="Arial"/>
          <w:sz w:val="20"/>
          <w:szCs w:val="20"/>
        </w:rPr>
        <w:t>Student</w:t>
      </w:r>
      <w:proofErr w:type="spellEnd"/>
      <w:r w:rsidR="001B39B9">
        <w:rPr>
          <w:rFonts w:ascii="Arial" w:hAnsi="Arial" w:cs="Arial"/>
          <w:sz w:val="20"/>
          <w:szCs w:val="20"/>
        </w:rPr>
        <w:t>)</w:t>
      </w:r>
    </w:p>
    <w:p w:rsidR="00CF497C" w:rsidRDefault="00CF497C" w:rsidP="00CF49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33ADC" w:rsidRDefault="00433ADC" w:rsidP="00433ADC">
      <w:pPr>
        <w:ind w:firstLine="708"/>
        <w:jc w:val="both"/>
        <w:rPr>
          <w:rFonts w:ascii="Arial" w:hAnsi="Arial"/>
          <w:color w:val="000000"/>
          <w:lang w:val="fr-FR"/>
        </w:rPr>
      </w:pPr>
      <w:r w:rsidRPr="00AB569A">
        <w:rPr>
          <w:rStyle w:val="null"/>
          <w:rFonts w:ascii="Arial" w:hAnsi="Arial" w:cs="Arial"/>
          <w:color w:val="000000"/>
        </w:rPr>
        <w:t xml:space="preserve">Os tumores aumentam a quantidade de substâncias pró-oxidantes e diminuem as atividades das enzimas antioxidantes em tecidos extra-tumorais, promovendo o aumento do estresse </w:t>
      </w:r>
      <w:r w:rsidRPr="009D0A74">
        <w:rPr>
          <w:rStyle w:val="null"/>
          <w:rFonts w:ascii="Arial" w:hAnsi="Arial" w:cs="Arial"/>
          <w:color w:val="000000" w:themeColor="text1"/>
        </w:rPr>
        <w:t>oxidativo (</w:t>
      </w:r>
      <w:r w:rsidRPr="009D0A74">
        <w:rPr>
          <w:rFonts w:ascii="Arial" w:hAnsi="Arial"/>
          <w:color w:val="000000" w:themeColor="text1"/>
          <w:lang w:val="fr-FR"/>
        </w:rPr>
        <w:t xml:space="preserve">Mena </w:t>
      </w:r>
      <w:proofErr w:type="gramStart"/>
      <w:r w:rsidRPr="009D0A74">
        <w:rPr>
          <w:rFonts w:ascii="Arial" w:hAnsi="Arial"/>
          <w:i/>
          <w:color w:val="000000" w:themeColor="text1"/>
          <w:lang w:val="fr-FR"/>
        </w:rPr>
        <w:t>et</w:t>
      </w:r>
      <w:proofErr w:type="gramEnd"/>
      <w:r w:rsidRPr="009D0A74">
        <w:rPr>
          <w:rFonts w:ascii="Arial" w:hAnsi="Arial"/>
          <w:i/>
          <w:color w:val="000000" w:themeColor="text1"/>
          <w:lang w:val="fr-FR"/>
        </w:rPr>
        <w:t xml:space="preserve"> al</w:t>
      </w:r>
      <w:r w:rsidRPr="009D0A74">
        <w:rPr>
          <w:rFonts w:ascii="Arial" w:hAnsi="Arial"/>
          <w:color w:val="000000" w:themeColor="text1"/>
          <w:lang w:val="fr-FR"/>
        </w:rPr>
        <w:t>, 2009).</w:t>
      </w:r>
      <w:r>
        <w:rPr>
          <w:rFonts w:ascii="Arial" w:hAnsi="Arial"/>
          <w:color w:val="000000"/>
          <w:lang w:val="fr-FR"/>
        </w:rPr>
        <w:t xml:space="preserve"> </w:t>
      </w:r>
    </w:p>
    <w:p w:rsidR="0057576E" w:rsidRPr="0057576E" w:rsidRDefault="00433ADC" w:rsidP="00433AD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afirmação está de acordo com o que foi identificado no presente trabalho, no que tange a elevação dos neuropeptídios, mostrado pelo aumento </w:t>
      </w:r>
      <w:r w:rsidRPr="004E7A47">
        <w:rPr>
          <w:rFonts w:ascii="Arial" w:hAnsi="Arial" w:cs="Arial"/>
        </w:rPr>
        <w:t>da área da varicosidade da fibra nervosa CGRP-</w:t>
      </w:r>
      <w:proofErr w:type="gramStart"/>
      <w:r w:rsidRPr="004E7A47">
        <w:rPr>
          <w:rFonts w:ascii="Arial" w:hAnsi="Arial" w:cs="Arial"/>
        </w:rPr>
        <w:t>IR na</w:t>
      </w:r>
      <w:proofErr w:type="gramEnd"/>
      <w:r w:rsidRPr="004E7A47">
        <w:rPr>
          <w:rFonts w:ascii="Arial" w:hAnsi="Arial" w:cs="Arial"/>
        </w:rPr>
        <w:t xml:space="preserve"> ordem de 34,63% em relação ao grupo controle. </w:t>
      </w:r>
      <w:r>
        <w:rPr>
          <w:rFonts w:ascii="Arial" w:hAnsi="Arial" w:cs="Arial"/>
        </w:rPr>
        <w:t>E</w:t>
      </w:r>
      <w:r w:rsidRPr="0057576E">
        <w:rPr>
          <w:rFonts w:ascii="Arial" w:hAnsi="Arial" w:cs="Arial"/>
        </w:rPr>
        <w:t xml:space="preserve">ste resultado </w:t>
      </w:r>
      <w:r>
        <w:rPr>
          <w:rFonts w:ascii="Arial" w:hAnsi="Arial" w:cs="Arial"/>
        </w:rPr>
        <w:t xml:space="preserve">sugere que </w:t>
      </w:r>
      <w:r w:rsidRPr="0057576E">
        <w:rPr>
          <w:rFonts w:ascii="Arial" w:hAnsi="Arial" w:cs="Arial"/>
        </w:rPr>
        <w:t xml:space="preserve">a expressão de </w:t>
      </w:r>
      <w:r>
        <w:rPr>
          <w:rFonts w:ascii="Arial" w:hAnsi="Arial" w:cs="Arial"/>
        </w:rPr>
        <w:t>CGRP</w:t>
      </w:r>
      <w:r w:rsidRPr="0057576E">
        <w:rPr>
          <w:rFonts w:ascii="Arial" w:hAnsi="Arial" w:cs="Arial"/>
        </w:rPr>
        <w:t xml:space="preserve"> está aumentada</w:t>
      </w:r>
      <w:r>
        <w:rPr>
          <w:rFonts w:ascii="Arial" w:hAnsi="Arial" w:cs="Arial"/>
        </w:rPr>
        <w:t xml:space="preserve"> </w:t>
      </w:r>
      <w:r w:rsidRPr="0057576E">
        <w:rPr>
          <w:rFonts w:ascii="Arial" w:hAnsi="Arial" w:cs="Arial"/>
        </w:rPr>
        <w:t xml:space="preserve">e foi promovida </w:t>
      </w:r>
      <w:r>
        <w:rPr>
          <w:rFonts w:ascii="Arial" w:hAnsi="Arial" w:cs="Arial"/>
        </w:rPr>
        <w:t>pela presença do tumor.</w:t>
      </w:r>
      <w:r w:rsidR="004848CD">
        <w:rPr>
          <w:rFonts w:ascii="Arial" w:hAnsi="Arial" w:cs="Arial"/>
        </w:rPr>
        <w:t xml:space="preserve"> </w:t>
      </w:r>
      <w:r w:rsidR="00922EF2">
        <w:rPr>
          <w:rFonts w:ascii="Arial" w:hAnsi="Arial" w:cs="Arial"/>
        </w:rPr>
        <w:t>Essa elevação significativa das áreas das varicosidades reflete</w:t>
      </w:r>
      <w:r w:rsidR="0057576E">
        <w:rPr>
          <w:rFonts w:ascii="Arial" w:hAnsi="Arial" w:cs="Arial"/>
        </w:rPr>
        <w:t xml:space="preserve"> </w:t>
      </w:r>
      <w:r w:rsidR="004848CD">
        <w:rPr>
          <w:rFonts w:ascii="Arial" w:hAnsi="Arial" w:cs="Arial"/>
        </w:rPr>
        <w:t>a plasticidade neural no</w:t>
      </w:r>
      <w:r w:rsidR="00FE3540">
        <w:rPr>
          <w:rFonts w:ascii="Arial" w:hAnsi="Arial" w:cs="Arial"/>
        </w:rPr>
        <w:t xml:space="preserve"> trato digestório </w:t>
      </w:r>
      <w:r w:rsidR="0057576E">
        <w:rPr>
          <w:rFonts w:ascii="Arial" w:hAnsi="Arial" w:cs="Arial"/>
        </w:rPr>
        <w:t xml:space="preserve">provocados pelo câncer </w:t>
      </w:r>
      <w:r w:rsidR="00FE3540">
        <w:rPr>
          <w:rFonts w:ascii="Arial" w:hAnsi="Arial" w:cs="Arial"/>
        </w:rPr>
        <w:t xml:space="preserve">ou uma consequência </w:t>
      </w:r>
      <w:r w:rsidR="004848CD">
        <w:rPr>
          <w:rFonts w:ascii="Arial" w:hAnsi="Arial" w:cs="Arial"/>
        </w:rPr>
        <w:t>uma provável</w:t>
      </w:r>
      <w:r w:rsidR="00FE3540">
        <w:rPr>
          <w:rFonts w:ascii="Arial" w:hAnsi="Arial" w:cs="Arial"/>
        </w:rPr>
        <w:t xml:space="preserve"> neurodegeneração ao nível do plexo mioentérico como reflexo do elevado estresse oxidativo imposto pelo tumor neste modelo experimental</w:t>
      </w:r>
      <w:r w:rsidR="007A4275">
        <w:rPr>
          <w:rFonts w:ascii="Arial" w:hAnsi="Arial" w:cs="Arial"/>
        </w:rPr>
        <w:t>. Doenças crônicas como o diabetes</w:t>
      </w:r>
      <w:r w:rsidR="007D78C1" w:rsidRPr="007D78C1">
        <w:rPr>
          <w:rStyle w:val="mixed-citation"/>
          <w:rFonts w:ascii="Arial" w:hAnsi="Arial" w:cs="Arial"/>
        </w:rPr>
        <w:t xml:space="preserve"> </w:t>
      </w:r>
      <w:r w:rsidR="00922EF2">
        <w:rPr>
          <w:rStyle w:val="mixed-citation"/>
          <w:rFonts w:ascii="Arial" w:hAnsi="Arial" w:cs="Arial"/>
        </w:rPr>
        <w:t>induzem alterações semelhantes às observada</w:t>
      </w:r>
      <w:r w:rsidR="007A4275">
        <w:rPr>
          <w:rStyle w:val="mixed-citation"/>
          <w:rFonts w:ascii="Arial" w:hAnsi="Arial" w:cs="Arial"/>
        </w:rPr>
        <w:t xml:space="preserve">s neste estudo </w:t>
      </w:r>
      <w:r w:rsidR="007D78C1">
        <w:rPr>
          <w:rStyle w:val="mixed-citation"/>
          <w:rFonts w:ascii="Arial" w:hAnsi="Arial" w:cs="Arial"/>
        </w:rPr>
        <w:t>(</w:t>
      </w:r>
      <w:r w:rsidR="007A4275" w:rsidRPr="007A4275">
        <w:rPr>
          <w:rFonts w:ascii="Arial" w:hAnsi="Arial" w:cs="Arial"/>
        </w:rPr>
        <w:t>GUARNIER</w:t>
      </w:r>
      <w:r w:rsidR="007F3CEB">
        <w:rPr>
          <w:rStyle w:val="mixed-citation"/>
          <w:rFonts w:ascii="Arial" w:hAnsi="Arial" w:cs="Arial"/>
        </w:rPr>
        <w:t xml:space="preserve"> </w:t>
      </w:r>
      <w:proofErr w:type="gramStart"/>
      <w:r w:rsidR="007A4275" w:rsidRPr="00957975">
        <w:rPr>
          <w:rStyle w:val="mixed-citation"/>
          <w:rFonts w:ascii="Arial" w:hAnsi="Arial" w:cs="Arial"/>
          <w:i/>
        </w:rPr>
        <w:t>et</w:t>
      </w:r>
      <w:proofErr w:type="gramEnd"/>
      <w:r w:rsidR="007A4275" w:rsidRPr="00957975">
        <w:rPr>
          <w:rStyle w:val="mixed-citation"/>
          <w:rFonts w:ascii="Arial" w:hAnsi="Arial" w:cs="Arial"/>
          <w:i/>
        </w:rPr>
        <w:t xml:space="preserve"> al</w:t>
      </w:r>
      <w:r w:rsidR="007A4275">
        <w:rPr>
          <w:rStyle w:val="mixed-citation"/>
          <w:rFonts w:ascii="Arial" w:hAnsi="Arial" w:cs="Arial"/>
        </w:rPr>
        <w:t xml:space="preserve">, 2010; </w:t>
      </w:r>
      <w:r w:rsidR="007D78C1">
        <w:rPr>
          <w:rStyle w:val="mixed-citation"/>
          <w:rFonts w:ascii="Arial" w:hAnsi="Arial" w:cs="Arial"/>
        </w:rPr>
        <w:t>CHANDRASEKHARAN &amp;</w:t>
      </w:r>
      <w:r w:rsidR="007D78C1" w:rsidRPr="007D78C1">
        <w:rPr>
          <w:rStyle w:val="mixed-citation"/>
          <w:rFonts w:ascii="Arial" w:hAnsi="Arial" w:cs="Arial"/>
        </w:rPr>
        <w:t xml:space="preserve"> SRINIVASAN</w:t>
      </w:r>
      <w:r w:rsidR="007A4275">
        <w:rPr>
          <w:rFonts w:ascii="Arial" w:hAnsi="Arial" w:cs="Arial"/>
        </w:rPr>
        <w:t>, 2007)</w:t>
      </w:r>
      <w:r w:rsidR="004848CD">
        <w:rPr>
          <w:rFonts w:ascii="Arial" w:hAnsi="Arial" w:cs="Arial"/>
        </w:rPr>
        <w:t>.</w:t>
      </w:r>
    </w:p>
    <w:p w:rsidR="00EA0999" w:rsidRDefault="00EA0999" w:rsidP="00EA0999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B83184" w:rsidRDefault="00B83184" w:rsidP="00AE64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64A4" w:rsidRPr="004E7A47" w:rsidRDefault="007A4275" w:rsidP="002B74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675C">
        <w:rPr>
          <w:rFonts w:ascii="Arial" w:hAnsi="Arial" w:cs="Arial"/>
        </w:rPr>
        <w:t>Evidências sugerem que</w:t>
      </w:r>
      <w:r>
        <w:rPr>
          <w:rFonts w:ascii="Arial" w:hAnsi="Arial" w:cs="Arial"/>
        </w:rPr>
        <w:t xml:space="preserve"> a presença do tumor de Walker-256 induz </w:t>
      </w:r>
      <w:r w:rsidR="007F3CEB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aumento </w:t>
      </w:r>
      <w:r w:rsidR="007F3CEB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 xml:space="preserve">área das varicosidades </w:t>
      </w:r>
      <w:r w:rsidR="00B83184">
        <w:rPr>
          <w:rFonts w:ascii="Arial" w:hAnsi="Arial" w:cs="Arial"/>
        </w:rPr>
        <w:t>CGRP</w:t>
      </w:r>
      <w:r>
        <w:rPr>
          <w:rFonts w:ascii="Arial" w:hAnsi="Arial" w:cs="Arial"/>
        </w:rPr>
        <w:t>-IR do plexo mioentérico do íleo em um modelo experimental de caquexia associada ao câncer</w:t>
      </w:r>
      <w:r w:rsidR="007F3CEB">
        <w:rPr>
          <w:rFonts w:ascii="Arial" w:hAnsi="Arial" w:cs="Arial"/>
        </w:rPr>
        <w:t xml:space="preserve"> em ratos. Efeito este que pode ser atribuído ao elevado estresse oxidativo presente em ratos portadores de tumor de Walker-256. </w:t>
      </w:r>
    </w:p>
    <w:p w:rsidR="00FE0A87" w:rsidRDefault="00FE0A87" w:rsidP="00FE0A87">
      <w:pPr>
        <w:rPr>
          <w:rFonts w:ascii="Arial" w:hAnsi="Arial" w:cs="Arial"/>
        </w:rPr>
      </w:pPr>
    </w:p>
    <w:p w:rsidR="00591DA5" w:rsidRDefault="00591DA5" w:rsidP="00FE0A87">
      <w:pPr>
        <w:rPr>
          <w:rFonts w:ascii="Arial" w:hAnsi="Arial" w:cs="Arial"/>
          <w:b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FE0A87" w:rsidRDefault="005B451E" w:rsidP="002B74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Agradeço </w:t>
      </w:r>
      <w:r w:rsidR="00B831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Deus, razão de toda minha existência e ao meu orientador, </w:t>
      </w:r>
      <w:r w:rsidRPr="0066481D">
        <w:rPr>
          <w:rFonts w:ascii="Arial" w:hAnsi="Arial" w:cs="Arial"/>
        </w:rPr>
        <w:t>Geraldo Emílio Vicentini</w:t>
      </w:r>
      <w:r>
        <w:rPr>
          <w:rFonts w:ascii="Arial" w:hAnsi="Arial" w:cs="Arial"/>
        </w:rPr>
        <w:t xml:space="preserve">, por se inclinar </w:t>
      </w:r>
      <w:r w:rsidR="00B83184">
        <w:rPr>
          <w:rFonts w:ascii="Arial" w:hAnsi="Arial" w:cs="Arial"/>
        </w:rPr>
        <w:t>ao ensino e a arte de transferir mais do que conhecimento, ofertando oportunidades e incentivo para a realização deste trabalho.</w:t>
      </w:r>
    </w:p>
    <w:p w:rsidR="007F3CEB" w:rsidRDefault="00922EF2" w:rsidP="007F3C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Nossos agradecimentos à</w:t>
      </w:r>
      <w:r w:rsidR="007F3CEB">
        <w:rPr>
          <w:rFonts w:ascii="Arial" w:hAnsi="Arial" w:cs="Arial"/>
        </w:rPr>
        <w:t xml:space="preserve"> Fundação Ar</w:t>
      </w:r>
      <w:r>
        <w:rPr>
          <w:rFonts w:ascii="Arial" w:hAnsi="Arial" w:cs="Arial"/>
        </w:rPr>
        <w:t xml:space="preserve">aucária pelo suporte financeiro e </w:t>
      </w:r>
      <w:r w:rsidR="007F3CEB">
        <w:rPr>
          <w:rFonts w:ascii="Arial" w:hAnsi="Arial" w:cs="Arial"/>
        </w:rPr>
        <w:t>ao Laboratório de plasticidade neural entérica</w:t>
      </w:r>
      <w:r w:rsidR="007825E2">
        <w:rPr>
          <w:rFonts w:ascii="Arial" w:hAnsi="Arial" w:cs="Arial"/>
        </w:rPr>
        <w:t>.</w:t>
      </w:r>
    </w:p>
    <w:p w:rsidR="00653B0A" w:rsidRDefault="00653B0A" w:rsidP="00653B0A">
      <w:pPr>
        <w:jc w:val="both"/>
        <w:rPr>
          <w:rFonts w:ascii="Arial" w:hAnsi="Arial" w:cs="Arial"/>
        </w:rPr>
      </w:pPr>
    </w:p>
    <w:p w:rsidR="00653B0A" w:rsidRPr="00E4051F" w:rsidRDefault="00653B0A" w:rsidP="00653B0A">
      <w:pPr>
        <w:jc w:val="both"/>
        <w:rPr>
          <w:rFonts w:ascii="Arial" w:hAnsi="Arial" w:cs="Arial"/>
          <w:lang w:val="en-US"/>
        </w:rPr>
      </w:pPr>
      <w:proofErr w:type="spellStart"/>
      <w:r w:rsidRPr="00E4051F">
        <w:rPr>
          <w:rFonts w:ascii="Arial" w:hAnsi="Arial" w:cs="Arial"/>
          <w:b/>
          <w:lang w:val="en-US"/>
        </w:rPr>
        <w:t>Referências</w:t>
      </w:r>
      <w:proofErr w:type="spellEnd"/>
    </w:p>
    <w:p w:rsidR="00653B0A" w:rsidRDefault="00653B0A" w:rsidP="009D0A74">
      <w:pPr>
        <w:jc w:val="both"/>
        <w:rPr>
          <w:rFonts w:ascii="Arial" w:hAnsi="Arial" w:cs="Arial"/>
          <w:lang w:val="en-US"/>
        </w:rPr>
      </w:pPr>
    </w:p>
    <w:p w:rsidR="00922EF2" w:rsidRDefault="00922EF2" w:rsidP="009D0A74">
      <w:pPr>
        <w:jc w:val="both"/>
        <w:rPr>
          <w:rStyle w:val="mixed-citation"/>
          <w:rFonts w:ascii="Arial" w:hAnsi="Arial" w:cs="Arial"/>
          <w:lang w:val="en-US"/>
        </w:rPr>
      </w:pPr>
      <w:r w:rsidRPr="007D78C1">
        <w:rPr>
          <w:rStyle w:val="mixed-citation"/>
          <w:rFonts w:ascii="Arial" w:hAnsi="Arial" w:cs="Arial"/>
          <w:lang w:val="en-US"/>
        </w:rPr>
        <w:t xml:space="preserve">CHANDRASEKHARAN, B. AND SRINIVASAN, S. </w:t>
      </w:r>
      <w:r w:rsidR="007C791A">
        <w:rPr>
          <w:rStyle w:val="mixed-citation"/>
          <w:rFonts w:ascii="Arial" w:hAnsi="Arial" w:cs="Arial"/>
          <w:lang w:val="en-US"/>
        </w:rPr>
        <w:t xml:space="preserve">(2007). </w:t>
      </w:r>
      <w:proofErr w:type="gramStart"/>
      <w:r w:rsidRPr="007D78C1">
        <w:rPr>
          <w:rStyle w:val="mixed-citation"/>
          <w:rFonts w:ascii="Arial" w:hAnsi="Arial" w:cs="Arial"/>
          <w:lang w:val="en-US"/>
        </w:rPr>
        <w:t>Diabetes and the enteric nervous system.</w:t>
      </w:r>
      <w:proofErr w:type="gramEnd"/>
      <w:r w:rsidRPr="007D78C1">
        <w:rPr>
          <w:rStyle w:val="mixed-citation"/>
          <w:rFonts w:ascii="Arial" w:hAnsi="Arial" w:cs="Arial"/>
          <w:lang w:val="en-US"/>
        </w:rPr>
        <w:t xml:space="preserve"> </w:t>
      </w:r>
      <w:proofErr w:type="spellStart"/>
      <w:r w:rsidRPr="007C791A">
        <w:rPr>
          <w:rStyle w:val="mixed-citation"/>
          <w:rFonts w:ascii="Arial" w:hAnsi="Arial" w:cs="Arial"/>
          <w:i/>
          <w:lang w:val="en-US"/>
        </w:rPr>
        <w:t>Neurogastroenterol</w:t>
      </w:r>
      <w:proofErr w:type="spellEnd"/>
      <w:r w:rsidRPr="007C791A">
        <w:rPr>
          <w:rStyle w:val="mixed-citation"/>
          <w:rFonts w:ascii="Arial" w:hAnsi="Arial" w:cs="Arial"/>
          <w:i/>
          <w:lang w:val="en-US"/>
        </w:rPr>
        <w:t xml:space="preserve"> </w:t>
      </w:r>
      <w:proofErr w:type="spellStart"/>
      <w:r w:rsidRPr="007C791A">
        <w:rPr>
          <w:rStyle w:val="mixed-citation"/>
          <w:rFonts w:ascii="Arial" w:hAnsi="Arial" w:cs="Arial"/>
          <w:i/>
          <w:lang w:val="en-US"/>
        </w:rPr>
        <w:t>Motil</w:t>
      </w:r>
      <w:proofErr w:type="spellEnd"/>
      <w:r w:rsidR="00B5017F">
        <w:rPr>
          <w:rStyle w:val="mixed-citation"/>
          <w:rFonts w:ascii="Arial" w:hAnsi="Arial" w:cs="Arial"/>
          <w:lang w:val="en-US"/>
        </w:rPr>
        <w:t xml:space="preserve"> </w:t>
      </w:r>
      <w:r w:rsidR="00B5017F" w:rsidRPr="00B5017F">
        <w:rPr>
          <w:rStyle w:val="mixed-citation"/>
          <w:rFonts w:ascii="Arial" w:hAnsi="Arial" w:cs="Arial"/>
          <w:b/>
          <w:lang w:val="en-US"/>
        </w:rPr>
        <w:t>19</w:t>
      </w:r>
      <w:r w:rsidR="00B5017F">
        <w:rPr>
          <w:rStyle w:val="mixed-citation"/>
          <w:rFonts w:ascii="Arial" w:hAnsi="Arial" w:cs="Arial"/>
          <w:lang w:val="en-US"/>
        </w:rPr>
        <w:t>,</w:t>
      </w:r>
      <w:r w:rsidR="007C791A">
        <w:rPr>
          <w:rStyle w:val="mixed-citation"/>
          <w:rFonts w:ascii="Arial" w:hAnsi="Arial" w:cs="Arial"/>
          <w:lang w:val="en-US"/>
        </w:rPr>
        <w:t xml:space="preserve"> 951–960.</w:t>
      </w:r>
    </w:p>
    <w:p w:rsidR="009D0A74" w:rsidRPr="007D78C1" w:rsidRDefault="009D0A74" w:rsidP="009D0A74">
      <w:pPr>
        <w:jc w:val="both"/>
        <w:rPr>
          <w:rStyle w:val="mixed-citation"/>
          <w:rFonts w:ascii="Arial" w:hAnsi="Arial" w:cs="Arial"/>
          <w:lang w:val="en-US"/>
        </w:rPr>
      </w:pPr>
    </w:p>
    <w:p w:rsidR="00922EF2" w:rsidRDefault="00922EF2" w:rsidP="009D0A74">
      <w:pPr>
        <w:jc w:val="both"/>
        <w:rPr>
          <w:rFonts w:ascii="Arial" w:hAnsi="Arial" w:cs="Arial"/>
          <w:i/>
          <w:color w:val="000000"/>
          <w:lang w:val="en-US"/>
        </w:rPr>
      </w:pPr>
      <w:r w:rsidRPr="00B10B12">
        <w:rPr>
          <w:rFonts w:ascii="Arial" w:hAnsi="Arial" w:cs="Arial"/>
          <w:color w:val="000000"/>
          <w:lang w:val="en-US"/>
        </w:rPr>
        <w:t xml:space="preserve">Furness, J. B. </w:t>
      </w:r>
      <w:r>
        <w:rPr>
          <w:rFonts w:ascii="Arial" w:hAnsi="Arial" w:cs="Arial"/>
          <w:color w:val="000000"/>
          <w:lang w:val="en-US"/>
        </w:rPr>
        <w:t xml:space="preserve">(2006). </w:t>
      </w:r>
      <w:proofErr w:type="gramStart"/>
      <w:r w:rsidRPr="004D7623">
        <w:rPr>
          <w:rFonts w:ascii="Arial" w:hAnsi="Arial" w:cs="Arial"/>
          <w:iCs/>
          <w:color w:val="000000"/>
          <w:lang w:val="en-US"/>
        </w:rPr>
        <w:t>The enteric nervous system</w:t>
      </w:r>
      <w:r w:rsidRPr="00B10B12">
        <w:rPr>
          <w:rFonts w:ascii="Arial" w:hAnsi="Arial" w:cs="Arial"/>
          <w:b/>
          <w:color w:val="000000"/>
          <w:lang w:val="en-US"/>
        </w:rPr>
        <w:t>.</w:t>
      </w:r>
      <w:proofErr w:type="gramEnd"/>
      <w:r w:rsidRPr="00B10B12">
        <w:rPr>
          <w:rFonts w:ascii="Arial" w:hAnsi="Arial" w:cs="Arial"/>
          <w:color w:val="000000"/>
          <w:lang w:val="en-US"/>
        </w:rPr>
        <w:t xml:space="preserve"> </w:t>
      </w:r>
      <w:r w:rsidRPr="004D7623">
        <w:rPr>
          <w:rFonts w:ascii="Arial" w:hAnsi="Arial" w:cs="Arial"/>
          <w:i/>
          <w:color w:val="000000"/>
          <w:lang w:val="en-US"/>
        </w:rPr>
        <w:t>Malden: Blackwell Publishing.</w:t>
      </w:r>
    </w:p>
    <w:p w:rsidR="009D0A74" w:rsidRDefault="009D0A74" w:rsidP="009D0A74">
      <w:pPr>
        <w:jc w:val="both"/>
        <w:rPr>
          <w:rFonts w:ascii="Arial" w:hAnsi="Arial" w:cs="Arial"/>
          <w:color w:val="000000"/>
          <w:lang w:val="en-US"/>
        </w:rPr>
      </w:pPr>
    </w:p>
    <w:p w:rsidR="00922EF2" w:rsidRDefault="00B61180" w:rsidP="009D0A7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Guarnier</w:t>
      </w:r>
      <w:proofErr w:type="spellEnd"/>
      <w:r w:rsidR="00922EF2" w:rsidRPr="0077161E">
        <w:rPr>
          <w:rFonts w:ascii="Arial" w:hAnsi="Arial" w:cs="Arial"/>
          <w:lang w:val="en-US"/>
        </w:rPr>
        <w:t xml:space="preserve">, F. A. </w:t>
      </w:r>
      <w:r w:rsidR="00922EF2" w:rsidRPr="00E626DD">
        <w:rPr>
          <w:rFonts w:ascii="Arial" w:hAnsi="Arial" w:cs="Arial"/>
          <w:i/>
          <w:lang w:val="en-US"/>
        </w:rPr>
        <w:t>et al</w:t>
      </w:r>
      <w:r w:rsidR="00922EF2" w:rsidRPr="0077161E">
        <w:rPr>
          <w:rFonts w:ascii="Arial" w:hAnsi="Arial" w:cs="Arial"/>
          <w:lang w:val="en-US"/>
        </w:rPr>
        <w:t xml:space="preserve">. </w:t>
      </w:r>
      <w:r w:rsidR="007C791A">
        <w:rPr>
          <w:rFonts w:ascii="Arial" w:hAnsi="Arial" w:cs="Arial"/>
          <w:lang w:val="en-US"/>
        </w:rPr>
        <w:t xml:space="preserve">(2010). </w:t>
      </w:r>
      <w:proofErr w:type="gramStart"/>
      <w:r w:rsidR="00922EF2" w:rsidRPr="0077161E">
        <w:rPr>
          <w:rFonts w:ascii="Arial" w:hAnsi="Arial" w:cs="Arial"/>
          <w:lang w:val="en-US"/>
        </w:rPr>
        <w:t>Time course of skeletal muscle loss and oxidative stress in rats with Walker 256 solid tumor.</w:t>
      </w:r>
      <w:proofErr w:type="gramEnd"/>
      <w:r w:rsidR="00922EF2" w:rsidRPr="0077161E">
        <w:rPr>
          <w:rFonts w:ascii="Arial" w:hAnsi="Arial" w:cs="Arial"/>
          <w:lang w:val="en-US"/>
        </w:rPr>
        <w:t xml:space="preserve"> </w:t>
      </w:r>
      <w:proofErr w:type="spellStart"/>
      <w:r w:rsidR="00922EF2" w:rsidRPr="009E4EA6">
        <w:rPr>
          <w:rFonts w:ascii="Arial" w:hAnsi="Arial" w:cs="Arial"/>
          <w:i/>
        </w:rPr>
        <w:t>Muscle</w:t>
      </w:r>
      <w:proofErr w:type="spellEnd"/>
      <w:r w:rsidR="00922EF2" w:rsidRPr="009E4EA6">
        <w:rPr>
          <w:rFonts w:ascii="Arial" w:hAnsi="Arial" w:cs="Arial"/>
          <w:i/>
        </w:rPr>
        <w:t xml:space="preserve"> </w:t>
      </w:r>
      <w:proofErr w:type="spellStart"/>
      <w:r w:rsidR="00922EF2" w:rsidRPr="009E4EA6">
        <w:rPr>
          <w:rFonts w:ascii="Arial" w:hAnsi="Arial" w:cs="Arial"/>
          <w:i/>
        </w:rPr>
        <w:t>and</w:t>
      </w:r>
      <w:proofErr w:type="spellEnd"/>
      <w:r w:rsidR="00922EF2" w:rsidRPr="009E4EA6">
        <w:rPr>
          <w:rFonts w:ascii="Arial" w:hAnsi="Arial" w:cs="Arial"/>
          <w:i/>
        </w:rPr>
        <w:t xml:space="preserve"> </w:t>
      </w:r>
      <w:proofErr w:type="spellStart"/>
      <w:r w:rsidR="00922EF2" w:rsidRPr="009E4EA6">
        <w:rPr>
          <w:rFonts w:ascii="Arial" w:hAnsi="Arial" w:cs="Arial"/>
          <w:i/>
        </w:rPr>
        <w:t>Ner</w:t>
      </w:r>
      <w:r w:rsidR="007C791A" w:rsidRPr="009E4EA6">
        <w:rPr>
          <w:rFonts w:ascii="Arial" w:hAnsi="Arial" w:cs="Arial"/>
          <w:i/>
        </w:rPr>
        <w:t>ve</w:t>
      </w:r>
      <w:proofErr w:type="spellEnd"/>
      <w:r w:rsidR="009E4EA6">
        <w:rPr>
          <w:rFonts w:ascii="Arial" w:hAnsi="Arial" w:cs="Arial"/>
        </w:rPr>
        <w:t xml:space="preserve"> </w:t>
      </w:r>
      <w:r w:rsidR="009E4EA6" w:rsidRPr="009E4EA6">
        <w:rPr>
          <w:rFonts w:ascii="Arial" w:hAnsi="Arial" w:cs="Arial"/>
          <w:b/>
        </w:rPr>
        <w:t>42</w:t>
      </w:r>
      <w:r w:rsidR="009E4EA6">
        <w:rPr>
          <w:rFonts w:ascii="Arial" w:hAnsi="Arial" w:cs="Arial"/>
        </w:rPr>
        <w:t>,</w:t>
      </w:r>
      <w:r w:rsidR="007C791A">
        <w:rPr>
          <w:rFonts w:ascii="Arial" w:hAnsi="Arial" w:cs="Arial"/>
        </w:rPr>
        <w:t xml:space="preserve"> 950-8.</w:t>
      </w:r>
    </w:p>
    <w:p w:rsidR="009D0A74" w:rsidRDefault="009D0A74" w:rsidP="009D0A74">
      <w:pPr>
        <w:jc w:val="both"/>
        <w:rPr>
          <w:rFonts w:ascii="Arial" w:hAnsi="Arial" w:cs="Arial"/>
        </w:rPr>
      </w:pPr>
    </w:p>
    <w:p w:rsidR="009D0A74" w:rsidRPr="003E72CA" w:rsidRDefault="009D0A74" w:rsidP="009D0A74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  <w:r w:rsidRPr="00714D6D">
        <w:rPr>
          <w:rFonts w:ascii="Arial" w:hAnsi="Arial" w:cs="Arial"/>
          <w:color w:val="000000"/>
          <w:sz w:val="24"/>
          <w:szCs w:val="24"/>
          <w:lang w:val="en-US" w:eastAsia="pt-BR"/>
        </w:rPr>
        <w:t>Mena S</w:t>
      </w:r>
      <w:r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  <w:r w:rsidRPr="00714D6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n-US" w:eastAsia="pt-BR"/>
        </w:rPr>
        <w:t>et al</w:t>
      </w:r>
      <w:r w:rsidRPr="00714D6D"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  <w:r w:rsidRPr="00714D6D">
        <w:rPr>
          <w:rFonts w:ascii="Arial" w:hAnsi="Arial" w:cs="Arial"/>
          <w:iCs/>
          <w:color w:val="000000"/>
          <w:sz w:val="24"/>
          <w:szCs w:val="24"/>
          <w:lang w:val="en-US" w:eastAsia="pt-BR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val="en-US" w:eastAsia="pt-BR"/>
        </w:rPr>
        <w:t>(</w:t>
      </w:r>
      <w:r w:rsidRPr="00714D6D">
        <w:rPr>
          <w:rFonts w:ascii="Arial" w:hAnsi="Arial" w:cs="Arial"/>
          <w:iCs/>
          <w:color w:val="000000"/>
          <w:sz w:val="24"/>
          <w:szCs w:val="24"/>
          <w:lang w:val="en-US" w:eastAsia="pt-BR"/>
        </w:rPr>
        <w:t>2009</w:t>
      </w:r>
      <w:r>
        <w:rPr>
          <w:rFonts w:ascii="Arial" w:hAnsi="Arial" w:cs="Arial"/>
          <w:iCs/>
          <w:color w:val="000000"/>
          <w:sz w:val="24"/>
          <w:szCs w:val="24"/>
          <w:lang w:val="en-US" w:eastAsia="pt-BR"/>
        </w:rPr>
        <w:t>)</w:t>
      </w:r>
      <w:r w:rsidRPr="00714D6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Oxidative stress in environmental-induced carcinogenesis. </w:t>
      </w:r>
      <w:proofErr w:type="spellStart"/>
      <w:r w:rsidRPr="003E72CA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>Mutation</w:t>
      </w:r>
      <w:proofErr w:type="spellEnd"/>
      <w:r w:rsidRPr="003E72CA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E72CA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>Research</w:t>
      </w:r>
      <w:proofErr w:type="spellEnd"/>
      <w:r w:rsidRPr="003E72CA">
        <w:rPr>
          <w:rFonts w:ascii="Arial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D116CC">
        <w:rPr>
          <w:rFonts w:ascii="Arial" w:hAnsi="Arial" w:cs="Arial"/>
          <w:b/>
          <w:iCs/>
          <w:color w:val="000000"/>
          <w:sz w:val="24"/>
          <w:szCs w:val="24"/>
          <w:lang w:eastAsia="pt-BR"/>
        </w:rPr>
        <w:t>674</w:t>
      </w:r>
      <w:r w:rsidRPr="003E72CA">
        <w:rPr>
          <w:rFonts w:ascii="Arial" w:hAnsi="Arial" w:cs="Arial"/>
          <w:iCs/>
          <w:color w:val="000000"/>
          <w:sz w:val="24"/>
          <w:szCs w:val="24"/>
          <w:lang w:eastAsia="pt-BR"/>
        </w:rPr>
        <w:t>, 36–44.</w:t>
      </w:r>
    </w:p>
    <w:p w:rsidR="009D0A74" w:rsidRDefault="009D0A74" w:rsidP="009D0A74">
      <w:pPr>
        <w:jc w:val="both"/>
        <w:rPr>
          <w:rFonts w:ascii="Arial" w:hAnsi="Arial" w:cs="Arial"/>
        </w:rPr>
      </w:pPr>
    </w:p>
    <w:p w:rsidR="00922EF2" w:rsidRDefault="00A739DF" w:rsidP="009D0A7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Oliveira</w:t>
      </w:r>
      <w:r w:rsidR="00922EF2" w:rsidRPr="00A76DDC">
        <w:rPr>
          <w:rFonts w:ascii="Arial" w:hAnsi="Arial" w:cs="Arial"/>
          <w:color w:val="000000"/>
        </w:rPr>
        <w:t xml:space="preserve">, P. F. M.; </w:t>
      </w:r>
      <w:proofErr w:type="gramStart"/>
      <w:r w:rsidR="00922EF2" w:rsidRPr="00E626DD">
        <w:rPr>
          <w:rFonts w:ascii="Arial" w:hAnsi="Arial" w:cs="Arial"/>
          <w:i/>
          <w:color w:val="000000"/>
        </w:rPr>
        <w:t>et</w:t>
      </w:r>
      <w:proofErr w:type="gramEnd"/>
      <w:r w:rsidR="00922EF2" w:rsidRPr="00E626DD">
        <w:rPr>
          <w:rFonts w:ascii="Arial" w:hAnsi="Arial" w:cs="Arial"/>
          <w:i/>
          <w:color w:val="000000"/>
        </w:rPr>
        <w:t xml:space="preserve"> al</w:t>
      </w:r>
      <w:r w:rsidR="00922EF2" w:rsidRPr="00A76DDC">
        <w:rPr>
          <w:rFonts w:ascii="Arial" w:hAnsi="Arial" w:cs="Arial"/>
          <w:color w:val="000000"/>
        </w:rPr>
        <w:t xml:space="preserve">. </w:t>
      </w:r>
      <w:r w:rsidR="007C791A">
        <w:rPr>
          <w:rFonts w:ascii="Arial" w:hAnsi="Arial" w:cs="Arial"/>
          <w:color w:val="000000"/>
        </w:rPr>
        <w:t xml:space="preserve">(1998). </w:t>
      </w:r>
      <w:r w:rsidR="00922EF2" w:rsidRPr="00A76DDC">
        <w:rPr>
          <w:rFonts w:ascii="Arial" w:hAnsi="Arial" w:cs="Arial"/>
          <w:color w:val="000000"/>
        </w:rPr>
        <w:t xml:space="preserve">Estabelecimento de um modelo de tumor experimental pela inoculação do tumor de </w:t>
      </w:r>
      <w:proofErr w:type="spellStart"/>
      <w:proofErr w:type="gramStart"/>
      <w:r w:rsidR="00922EF2" w:rsidRPr="00A76DDC">
        <w:rPr>
          <w:rFonts w:ascii="Arial" w:hAnsi="Arial" w:cs="Arial"/>
          <w:color w:val="000000"/>
        </w:rPr>
        <w:t>walker</w:t>
      </w:r>
      <w:proofErr w:type="spellEnd"/>
      <w:proofErr w:type="gramEnd"/>
      <w:r w:rsidR="00922EF2" w:rsidRPr="00A76DDC">
        <w:rPr>
          <w:rFonts w:ascii="Arial" w:hAnsi="Arial" w:cs="Arial"/>
          <w:color w:val="000000"/>
        </w:rPr>
        <w:t xml:space="preserve"> em estômago de rato. </w:t>
      </w:r>
      <w:proofErr w:type="spellStart"/>
      <w:r w:rsidR="007C791A">
        <w:rPr>
          <w:rFonts w:ascii="Arial" w:hAnsi="Arial" w:cs="Arial"/>
          <w:bCs/>
          <w:i/>
          <w:color w:val="000000"/>
          <w:lang w:val="en-US"/>
        </w:rPr>
        <w:t>Acta</w:t>
      </w:r>
      <w:proofErr w:type="spellEnd"/>
      <w:r w:rsidR="007C791A">
        <w:rPr>
          <w:rFonts w:ascii="Arial" w:hAnsi="Arial" w:cs="Arial"/>
          <w:bCs/>
          <w:i/>
          <w:color w:val="000000"/>
          <w:lang w:val="en-US"/>
        </w:rPr>
        <w:t xml:space="preserve"> Cir. Bras </w:t>
      </w:r>
      <w:r w:rsidR="007C791A" w:rsidRPr="007C791A">
        <w:rPr>
          <w:rFonts w:ascii="Arial" w:hAnsi="Arial" w:cs="Arial"/>
          <w:b/>
          <w:bCs/>
          <w:color w:val="000000"/>
          <w:lang w:val="en-US"/>
        </w:rPr>
        <w:t>13</w:t>
      </w:r>
      <w:r w:rsidR="007C791A">
        <w:rPr>
          <w:rFonts w:ascii="Arial" w:hAnsi="Arial" w:cs="Arial"/>
          <w:bCs/>
          <w:i/>
          <w:color w:val="000000"/>
          <w:lang w:val="en-US"/>
        </w:rPr>
        <w:t>,</w:t>
      </w:r>
      <w:r w:rsidR="007C791A">
        <w:rPr>
          <w:rFonts w:ascii="Arial" w:hAnsi="Arial" w:cs="Arial"/>
          <w:color w:val="000000"/>
          <w:lang w:val="en-US"/>
        </w:rPr>
        <w:t xml:space="preserve"> 243-248.</w:t>
      </w:r>
    </w:p>
    <w:p w:rsidR="009D0A74" w:rsidRDefault="009D0A74" w:rsidP="009D0A7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365423" w:rsidRPr="00C46248" w:rsidRDefault="0047630A" w:rsidP="009D0A74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Villalón</w:t>
      </w:r>
      <w:proofErr w:type="spellEnd"/>
      <w:r w:rsidR="007C791A">
        <w:rPr>
          <w:rFonts w:ascii="Arial" w:hAnsi="Arial" w:cs="Arial"/>
          <w:caps/>
          <w:color w:val="000000"/>
          <w:lang w:val="en-US"/>
        </w:rPr>
        <w:t xml:space="preserve">, C. M., </w:t>
      </w:r>
      <w:proofErr w:type="spellStart"/>
      <w:r>
        <w:rPr>
          <w:rFonts w:ascii="Arial" w:hAnsi="Arial" w:cs="Arial"/>
          <w:lang w:val="en-US"/>
        </w:rPr>
        <w:t>Olesen</w:t>
      </w:r>
      <w:proofErr w:type="spellEnd"/>
      <w:r w:rsidR="007C791A">
        <w:rPr>
          <w:rFonts w:ascii="Arial" w:hAnsi="Arial" w:cs="Arial"/>
          <w:caps/>
          <w:color w:val="000000"/>
          <w:lang w:val="en-US"/>
        </w:rPr>
        <w:t xml:space="preserve">, </w:t>
      </w:r>
      <w:r w:rsidR="00922EF2" w:rsidRPr="00A76DDC">
        <w:rPr>
          <w:rFonts w:ascii="Arial" w:hAnsi="Arial" w:cs="Arial"/>
          <w:caps/>
          <w:color w:val="000000"/>
          <w:lang w:val="en-US"/>
        </w:rPr>
        <w:t xml:space="preserve">J. </w:t>
      </w:r>
      <w:r w:rsidR="007C791A">
        <w:rPr>
          <w:rFonts w:ascii="Arial" w:hAnsi="Arial" w:cs="Arial"/>
          <w:caps/>
          <w:color w:val="000000"/>
          <w:lang w:val="en-US"/>
        </w:rPr>
        <w:t xml:space="preserve">(2009). </w:t>
      </w:r>
      <w:proofErr w:type="gramStart"/>
      <w:r w:rsidR="00922EF2" w:rsidRPr="00A76DDC">
        <w:rPr>
          <w:rStyle w:val="abscitationtitle"/>
          <w:rFonts w:ascii="Arial" w:hAnsi="Arial" w:cs="Arial"/>
          <w:lang w:val="en-US"/>
        </w:rPr>
        <w:t xml:space="preserve">The role of CGRP in the pathophysiology of migraine and efficacy of CGRP receptor antagonists as acute </w:t>
      </w:r>
      <w:proofErr w:type="spellStart"/>
      <w:r w:rsidR="00922EF2" w:rsidRPr="00A76DDC">
        <w:rPr>
          <w:rStyle w:val="abscitationtitle"/>
          <w:rFonts w:ascii="Arial" w:hAnsi="Arial" w:cs="Arial"/>
          <w:lang w:val="en-US"/>
        </w:rPr>
        <w:t>antimigraine</w:t>
      </w:r>
      <w:proofErr w:type="spellEnd"/>
      <w:r w:rsidR="00922EF2" w:rsidRPr="00A76DDC">
        <w:rPr>
          <w:rStyle w:val="abscitationtitle"/>
          <w:rFonts w:ascii="Arial" w:hAnsi="Arial" w:cs="Arial"/>
          <w:lang w:val="en-US"/>
        </w:rPr>
        <w:t xml:space="preserve"> drugs.</w:t>
      </w:r>
      <w:proofErr w:type="gramEnd"/>
      <w:r w:rsidR="00922EF2" w:rsidRPr="00A76DDC">
        <w:rPr>
          <w:rStyle w:val="abscitationtitle"/>
          <w:rFonts w:ascii="Arial" w:hAnsi="Arial" w:cs="Arial"/>
          <w:lang w:val="en-US"/>
        </w:rPr>
        <w:t xml:space="preserve"> </w:t>
      </w:r>
      <w:r w:rsidR="00922EF2" w:rsidRPr="007C791A">
        <w:rPr>
          <w:rStyle w:val="abscitationtitle"/>
          <w:rFonts w:ascii="Arial" w:hAnsi="Arial" w:cs="Arial"/>
          <w:i/>
          <w:lang w:val="en-US"/>
        </w:rPr>
        <w:t>Pharmacology &amp; Therapeu</w:t>
      </w:r>
      <w:r w:rsidR="007C791A" w:rsidRPr="007C791A">
        <w:rPr>
          <w:rStyle w:val="abscitationtitle"/>
          <w:rFonts w:ascii="Arial" w:hAnsi="Arial" w:cs="Arial"/>
          <w:i/>
          <w:lang w:val="en-US"/>
        </w:rPr>
        <w:t xml:space="preserve">tics </w:t>
      </w:r>
      <w:r w:rsidR="007C791A" w:rsidRPr="007C791A">
        <w:rPr>
          <w:rStyle w:val="abscitationtitle"/>
          <w:rFonts w:ascii="Arial" w:hAnsi="Arial" w:cs="Arial"/>
          <w:b/>
          <w:lang w:val="en-US"/>
        </w:rPr>
        <w:t>124</w:t>
      </w:r>
      <w:r w:rsidR="007C791A">
        <w:rPr>
          <w:rStyle w:val="abscitationtitle"/>
          <w:rFonts w:ascii="Arial" w:hAnsi="Arial" w:cs="Arial"/>
          <w:lang w:val="en-US"/>
        </w:rPr>
        <w:t>, 309-323.</w:t>
      </w:r>
    </w:p>
    <w:sectPr w:rsidR="00365423" w:rsidRPr="00C46248" w:rsidSect="009C5975">
      <w:headerReference w:type="default" r:id="rId10"/>
      <w:footerReference w:type="default" r:id="rId11"/>
      <w:pgSz w:w="11906" w:h="16838" w:code="9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56" w:rsidRDefault="00C31D56" w:rsidP="0024036C">
      <w:r>
        <w:separator/>
      </w:r>
    </w:p>
  </w:endnote>
  <w:endnote w:type="continuationSeparator" w:id="0">
    <w:p w:rsidR="00C31D56" w:rsidRDefault="00C31D56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DB207F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3800" cy="1114425"/>
          <wp:effectExtent l="0" t="0" r="0" b="9525"/>
          <wp:docPr id="3" name="Imagem 3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56" w:rsidRDefault="00C31D56" w:rsidP="0024036C">
      <w:r>
        <w:separator/>
      </w:r>
    </w:p>
  </w:footnote>
  <w:footnote w:type="continuationSeparator" w:id="0">
    <w:p w:rsidR="00C31D56" w:rsidRDefault="00C31D56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DB207F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3800" cy="1790700"/>
          <wp:effectExtent l="0" t="0" r="0" b="0"/>
          <wp:docPr id="2" name="Imagem 2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4FEE"/>
    <w:multiLevelType w:val="hybridMultilevel"/>
    <w:tmpl w:val="6890C082"/>
    <w:lvl w:ilvl="0" w:tplc="47DE62B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55F2"/>
    <w:multiLevelType w:val="hybridMultilevel"/>
    <w:tmpl w:val="F05C83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217A8"/>
    <w:rsid w:val="00051FDD"/>
    <w:rsid w:val="00054373"/>
    <w:rsid w:val="00070299"/>
    <w:rsid w:val="000C407F"/>
    <w:rsid w:val="000C64B2"/>
    <w:rsid w:val="000D7907"/>
    <w:rsid w:val="00106D7F"/>
    <w:rsid w:val="00124F88"/>
    <w:rsid w:val="00126B6A"/>
    <w:rsid w:val="0013537F"/>
    <w:rsid w:val="00141F61"/>
    <w:rsid w:val="001444E0"/>
    <w:rsid w:val="00197CD9"/>
    <w:rsid w:val="001B39B9"/>
    <w:rsid w:val="001C37F8"/>
    <w:rsid w:val="002400AD"/>
    <w:rsid w:val="0024036C"/>
    <w:rsid w:val="0025591A"/>
    <w:rsid w:val="0028792B"/>
    <w:rsid w:val="00293639"/>
    <w:rsid w:val="002964C4"/>
    <w:rsid w:val="002B7426"/>
    <w:rsid w:val="002C4DAB"/>
    <w:rsid w:val="002C7196"/>
    <w:rsid w:val="002E1F4A"/>
    <w:rsid w:val="002E4FF4"/>
    <w:rsid w:val="002E60D4"/>
    <w:rsid w:val="003402A1"/>
    <w:rsid w:val="00350F4D"/>
    <w:rsid w:val="00360085"/>
    <w:rsid w:val="00364718"/>
    <w:rsid w:val="00365423"/>
    <w:rsid w:val="0037731C"/>
    <w:rsid w:val="003819B9"/>
    <w:rsid w:val="003A5576"/>
    <w:rsid w:val="003B33E0"/>
    <w:rsid w:val="003B6BD8"/>
    <w:rsid w:val="00402BA4"/>
    <w:rsid w:val="00433ADC"/>
    <w:rsid w:val="0046491E"/>
    <w:rsid w:val="0047630A"/>
    <w:rsid w:val="00477EEE"/>
    <w:rsid w:val="004821B6"/>
    <w:rsid w:val="004848CD"/>
    <w:rsid w:val="004959AF"/>
    <w:rsid w:val="004B177A"/>
    <w:rsid w:val="004D7623"/>
    <w:rsid w:val="004E268D"/>
    <w:rsid w:val="004E7A47"/>
    <w:rsid w:val="0057576E"/>
    <w:rsid w:val="00591DA5"/>
    <w:rsid w:val="005B3C56"/>
    <w:rsid w:val="005B451E"/>
    <w:rsid w:val="005C2241"/>
    <w:rsid w:val="005D7B5B"/>
    <w:rsid w:val="005E41B6"/>
    <w:rsid w:val="005E4EA2"/>
    <w:rsid w:val="005E7019"/>
    <w:rsid w:val="006113F2"/>
    <w:rsid w:val="00613523"/>
    <w:rsid w:val="00623BB8"/>
    <w:rsid w:val="00636A74"/>
    <w:rsid w:val="00653B0A"/>
    <w:rsid w:val="0066481D"/>
    <w:rsid w:val="00671247"/>
    <w:rsid w:val="00692E97"/>
    <w:rsid w:val="006B1E04"/>
    <w:rsid w:val="006C1CAC"/>
    <w:rsid w:val="006C5FFB"/>
    <w:rsid w:val="006E090E"/>
    <w:rsid w:val="006F56AE"/>
    <w:rsid w:val="00747F7D"/>
    <w:rsid w:val="0077161E"/>
    <w:rsid w:val="00773A64"/>
    <w:rsid w:val="00773E4C"/>
    <w:rsid w:val="007742C3"/>
    <w:rsid w:val="007754A1"/>
    <w:rsid w:val="007825E2"/>
    <w:rsid w:val="007A4275"/>
    <w:rsid w:val="007C42CB"/>
    <w:rsid w:val="007C791A"/>
    <w:rsid w:val="007D78C1"/>
    <w:rsid w:val="007F3CEB"/>
    <w:rsid w:val="007F4803"/>
    <w:rsid w:val="00806B3F"/>
    <w:rsid w:val="00812D15"/>
    <w:rsid w:val="00835A43"/>
    <w:rsid w:val="008737C4"/>
    <w:rsid w:val="008827E7"/>
    <w:rsid w:val="008C6633"/>
    <w:rsid w:val="008D696F"/>
    <w:rsid w:val="0090127B"/>
    <w:rsid w:val="00922EF2"/>
    <w:rsid w:val="00934AFD"/>
    <w:rsid w:val="00943567"/>
    <w:rsid w:val="009523EE"/>
    <w:rsid w:val="00956F4E"/>
    <w:rsid w:val="00957522"/>
    <w:rsid w:val="00957975"/>
    <w:rsid w:val="00996D1E"/>
    <w:rsid w:val="009C5975"/>
    <w:rsid w:val="009D0A74"/>
    <w:rsid w:val="009D3E9D"/>
    <w:rsid w:val="009E4EA6"/>
    <w:rsid w:val="009F1FEA"/>
    <w:rsid w:val="00A166A7"/>
    <w:rsid w:val="00A739DF"/>
    <w:rsid w:val="00A76DDC"/>
    <w:rsid w:val="00A85200"/>
    <w:rsid w:val="00AB0FC3"/>
    <w:rsid w:val="00AB340F"/>
    <w:rsid w:val="00AC125D"/>
    <w:rsid w:val="00AE55F7"/>
    <w:rsid w:val="00AE64A4"/>
    <w:rsid w:val="00B176C1"/>
    <w:rsid w:val="00B25D09"/>
    <w:rsid w:val="00B37C9B"/>
    <w:rsid w:val="00B5017F"/>
    <w:rsid w:val="00B61180"/>
    <w:rsid w:val="00B71D2D"/>
    <w:rsid w:val="00B77F03"/>
    <w:rsid w:val="00B83184"/>
    <w:rsid w:val="00BB6C5E"/>
    <w:rsid w:val="00BC59D8"/>
    <w:rsid w:val="00BE0E70"/>
    <w:rsid w:val="00BE5EB8"/>
    <w:rsid w:val="00C0646F"/>
    <w:rsid w:val="00C31D56"/>
    <w:rsid w:val="00C40B63"/>
    <w:rsid w:val="00C40F7E"/>
    <w:rsid w:val="00C46248"/>
    <w:rsid w:val="00C60621"/>
    <w:rsid w:val="00C61A8E"/>
    <w:rsid w:val="00C75E98"/>
    <w:rsid w:val="00C841AD"/>
    <w:rsid w:val="00CC68B3"/>
    <w:rsid w:val="00CD5AB6"/>
    <w:rsid w:val="00CD7AE1"/>
    <w:rsid w:val="00CF3CAF"/>
    <w:rsid w:val="00CF497C"/>
    <w:rsid w:val="00D10822"/>
    <w:rsid w:val="00D116CC"/>
    <w:rsid w:val="00D20DAD"/>
    <w:rsid w:val="00D22980"/>
    <w:rsid w:val="00D32417"/>
    <w:rsid w:val="00D444A3"/>
    <w:rsid w:val="00D52D39"/>
    <w:rsid w:val="00D5727B"/>
    <w:rsid w:val="00D860DF"/>
    <w:rsid w:val="00DA57D8"/>
    <w:rsid w:val="00DB207F"/>
    <w:rsid w:val="00DD513E"/>
    <w:rsid w:val="00DD77BD"/>
    <w:rsid w:val="00DF7E57"/>
    <w:rsid w:val="00E02045"/>
    <w:rsid w:val="00E42E71"/>
    <w:rsid w:val="00E626DD"/>
    <w:rsid w:val="00E72CE0"/>
    <w:rsid w:val="00EA0999"/>
    <w:rsid w:val="00EA40B1"/>
    <w:rsid w:val="00ED5659"/>
    <w:rsid w:val="00F138D4"/>
    <w:rsid w:val="00FC6157"/>
    <w:rsid w:val="00FE0A87"/>
    <w:rsid w:val="00FE3540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268D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4E268D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E268D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268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B6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B6C5E"/>
    <w:rPr>
      <w:rFonts w:ascii="Courier New" w:eastAsia="Times New Roman" w:hAnsi="Courier New" w:cs="Courier New"/>
    </w:rPr>
  </w:style>
  <w:style w:type="character" w:customStyle="1" w:styleId="hps">
    <w:name w:val="hps"/>
    <w:rsid w:val="002C4DAB"/>
  </w:style>
  <w:style w:type="character" w:customStyle="1" w:styleId="abscitationtitle">
    <w:name w:val="abs_citation_title"/>
    <w:rsid w:val="00365423"/>
  </w:style>
  <w:style w:type="character" w:customStyle="1" w:styleId="null">
    <w:name w:val="null"/>
    <w:basedOn w:val="Fontepargpadro"/>
    <w:rsid w:val="001C37F8"/>
  </w:style>
  <w:style w:type="character" w:customStyle="1" w:styleId="mixed-citation">
    <w:name w:val="mixed-citation"/>
    <w:basedOn w:val="Fontepargpadro"/>
    <w:rsid w:val="007D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268D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4E268D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E268D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268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B6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B6C5E"/>
    <w:rPr>
      <w:rFonts w:ascii="Courier New" w:eastAsia="Times New Roman" w:hAnsi="Courier New" w:cs="Courier New"/>
    </w:rPr>
  </w:style>
  <w:style w:type="character" w:customStyle="1" w:styleId="hps">
    <w:name w:val="hps"/>
    <w:rsid w:val="002C4DAB"/>
  </w:style>
  <w:style w:type="character" w:customStyle="1" w:styleId="abscitationtitle">
    <w:name w:val="abs_citation_title"/>
    <w:rsid w:val="00365423"/>
  </w:style>
  <w:style w:type="character" w:customStyle="1" w:styleId="null">
    <w:name w:val="null"/>
    <w:basedOn w:val="Fontepargpadro"/>
    <w:rsid w:val="001C37F8"/>
  </w:style>
  <w:style w:type="character" w:customStyle="1" w:styleId="mixed-citation">
    <w:name w:val="mixed-citation"/>
    <w:basedOn w:val="Fontepargpadro"/>
    <w:rsid w:val="007D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Jaqueline</cp:lastModifiedBy>
  <cp:revision>2</cp:revision>
  <cp:lastPrinted>2015-07-13T17:06:00Z</cp:lastPrinted>
  <dcterms:created xsi:type="dcterms:W3CDTF">2015-09-05T03:30:00Z</dcterms:created>
  <dcterms:modified xsi:type="dcterms:W3CDTF">2015-09-05T03:30:00Z</dcterms:modified>
</cp:coreProperties>
</file>